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C6" w:rsidRDefault="005B21C6" w:rsidP="005B21C6">
      <w:pPr>
        <w:pStyle w:val="1"/>
        <w:spacing w:before="300" w:after="300" w:line="24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bookmarkStart w:id="0" w:name="_Toc340675871"/>
      <w:r>
        <w:rPr>
          <w:rFonts w:ascii="黑体" w:eastAsia="黑体" w:hAnsi="黑体" w:cs="黑体"/>
          <w:color w:val="000000"/>
          <w:sz w:val="36"/>
          <w:szCs w:val="36"/>
        </w:rPr>
        <w:t>2021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年上海工业生产者价格运行情况解读</w:t>
      </w:r>
    </w:p>
    <w:p w:rsidR="005B21C6" w:rsidRDefault="005B21C6" w:rsidP="005B21C6">
      <w:pPr>
        <w:widowControl/>
        <w:topLinePunct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2021</w:t>
      </w:r>
      <w:r>
        <w:rPr>
          <w:rFonts w:ascii="仿宋" w:eastAsia="仿宋" w:hAnsi="仿宋" w:hint="eastAsia"/>
          <w:sz w:val="28"/>
        </w:rPr>
        <w:t>年，受大宗商品价格上涨、主要原材料供需矛盾等因素的</w:t>
      </w:r>
      <w:r>
        <w:rPr>
          <w:rFonts w:ascii="仿宋" w:eastAsia="仿宋" w:hAnsi="仿宋"/>
          <w:sz w:val="28"/>
        </w:rPr>
        <w:t>影响</w:t>
      </w:r>
      <w:r>
        <w:rPr>
          <w:rFonts w:ascii="仿宋" w:eastAsia="仿宋" w:hAnsi="仿宋" w:hint="eastAsia"/>
          <w:sz w:val="28"/>
        </w:rPr>
        <w:t>,我市工业生产者价格总体呈现连续向上</w:t>
      </w:r>
      <w:r>
        <w:rPr>
          <w:rFonts w:ascii="仿宋" w:eastAsia="仿宋" w:hAnsi="仿宋"/>
          <w:sz w:val="28"/>
        </w:rPr>
        <w:t>并维持</w:t>
      </w:r>
      <w:r>
        <w:rPr>
          <w:rFonts w:ascii="仿宋" w:eastAsia="仿宋" w:hAnsi="仿宋" w:hint="eastAsia"/>
          <w:sz w:val="28"/>
        </w:rPr>
        <w:t>高位的态势，全年出厂价格和购进价格分别比上年上升</w:t>
      </w:r>
      <w:r>
        <w:rPr>
          <w:rFonts w:ascii="仿宋" w:eastAsia="仿宋" w:hAnsi="仿宋"/>
          <w:sz w:val="28"/>
        </w:rPr>
        <w:t>2.1</w:t>
      </w:r>
      <w:r>
        <w:rPr>
          <w:rFonts w:ascii="仿宋" w:eastAsia="仿宋" w:hAnsi="仿宋" w:hint="eastAsia"/>
          <w:sz w:val="28"/>
        </w:rPr>
        <w:t>%和</w:t>
      </w:r>
      <w:r>
        <w:rPr>
          <w:rFonts w:ascii="仿宋" w:eastAsia="仿宋" w:hAnsi="仿宋"/>
          <w:sz w:val="28"/>
        </w:rPr>
        <w:t>7.3</w:t>
      </w:r>
      <w:r>
        <w:rPr>
          <w:rFonts w:ascii="仿宋" w:eastAsia="仿宋" w:hAnsi="仿宋" w:hint="eastAsia"/>
          <w:sz w:val="28"/>
        </w:rPr>
        <w:t>%。</w:t>
      </w:r>
    </w:p>
    <w:p w:rsidR="005B21C6" w:rsidRPr="00464A4B" w:rsidRDefault="005B21C6" w:rsidP="005B21C6">
      <w:pPr>
        <w:pStyle w:val="4"/>
        <w:spacing w:line="360" w:lineRule="auto"/>
        <w:ind w:firstLineChars="200" w:firstLine="562"/>
        <w:rPr>
          <w:rFonts w:ascii="楷体_GB2312" w:eastAsia="楷体_GB2312" w:hAnsi="黑体"/>
          <w:sz w:val="28"/>
        </w:rPr>
      </w:pPr>
      <w:r w:rsidRPr="00464A4B">
        <w:rPr>
          <w:rFonts w:ascii="楷体_GB2312" w:eastAsia="楷体_GB2312" w:hAnsi="黑体" w:hint="eastAsia"/>
          <w:sz w:val="28"/>
        </w:rPr>
        <w:t>一、</w:t>
      </w:r>
      <w:r>
        <w:rPr>
          <w:rFonts w:ascii="楷体_GB2312" w:eastAsia="楷体_GB2312" w:hAnsi="黑体" w:hint="eastAsia"/>
          <w:sz w:val="28"/>
        </w:rPr>
        <w:t>年内</w:t>
      </w:r>
      <w:r w:rsidRPr="00464A4B">
        <w:rPr>
          <w:rFonts w:ascii="楷体_GB2312" w:eastAsia="楷体_GB2312" w:hAnsi="黑体" w:hint="eastAsia"/>
          <w:sz w:val="28"/>
        </w:rPr>
        <w:t>出厂价格和</w:t>
      </w:r>
      <w:r>
        <w:rPr>
          <w:rFonts w:ascii="楷体_GB2312" w:eastAsia="楷体_GB2312" w:hAnsi="黑体" w:hint="eastAsia"/>
          <w:sz w:val="28"/>
        </w:rPr>
        <w:t>购进</w:t>
      </w:r>
      <w:r w:rsidRPr="00464A4B">
        <w:rPr>
          <w:rFonts w:ascii="楷体_GB2312" w:eastAsia="楷体_GB2312" w:hAnsi="黑体" w:hint="eastAsia"/>
          <w:sz w:val="28"/>
        </w:rPr>
        <w:t>价格均以上升为主</w:t>
      </w:r>
      <w:r w:rsidRPr="00464A4B">
        <w:rPr>
          <w:rFonts w:ascii="楷体_GB2312" w:eastAsia="楷体_GB2312" w:hAnsi="黑体"/>
          <w:sz w:val="28"/>
        </w:rPr>
        <w:t>，年底有所回落</w:t>
      </w:r>
    </w:p>
    <w:p w:rsidR="005B21C6" w:rsidRDefault="005B21C6" w:rsidP="005B21C6">
      <w:pPr>
        <w:widowControl/>
        <w:topLinePunct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从环比看，前</w:t>
      </w:r>
      <w:r>
        <w:rPr>
          <w:rFonts w:ascii="仿宋" w:eastAsia="仿宋" w:hAnsi="仿宋"/>
          <w:sz w:val="28"/>
        </w:rPr>
        <w:t>10</w:t>
      </w:r>
      <w:r>
        <w:rPr>
          <w:rFonts w:ascii="仿宋" w:eastAsia="仿宋" w:hAnsi="仿宋" w:hint="eastAsia"/>
          <w:sz w:val="28"/>
        </w:rPr>
        <w:t>个月，我市工业生产者出厂价格和购进价格均连续上升；</w:t>
      </w:r>
      <w:r>
        <w:rPr>
          <w:rFonts w:ascii="仿宋" w:eastAsia="仿宋" w:hAnsi="仿宋"/>
          <w:sz w:val="28"/>
        </w:rPr>
        <w:t>11</w:t>
      </w:r>
      <w:r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/>
          <w:sz w:val="28"/>
        </w:rPr>
        <w:t>份，</w:t>
      </w:r>
      <w:r>
        <w:rPr>
          <w:rFonts w:ascii="仿宋" w:eastAsia="仿宋" w:hAnsi="仿宋" w:hint="eastAsia"/>
          <w:sz w:val="28"/>
        </w:rPr>
        <w:t>两个</w:t>
      </w:r>
      <w:r>
        <w:rPr>
          <w:rFonts w:ascii="仿宋" w:eastAsia="仿宋" w:hAnsi="仿宋"/>
          <w:sz w:val="28"/>
        </w:rPr>
        <w:t>价格</w:t>
      </w:r>
      <w:r>
        <w:rPr>
          <w:rFonts w:ascii="仿宋" w:eastAsia="仿宋" w:hAnsi="仿宋" w:hint="eastAsia"/>
          <w:sz w:val="28"/>
        </w:rPr>
        <w:t>开始趋于平稳，</w:t>
      </w:r>
      <w:r>
        <w:rPr>
          <w:rFonts w:ascii="仿宋" w:eastAsia="仿宋" w:hAnsi="仿宋"/>
          <w:sz w:val="28"/>
        </w:rPr>
        <w:t>12</w:t>
      </w:r>
      <w:r>
        <w:rPr>
          <w:rFonts w:ascii="仿宋" w:eastAsia="仿宋" w:hAnsi="仿宋" w:hint="eastAsia"/>
          <w:sz w:val="28"/>
        </w:rPr>
        <w:t>月份均出现下降。</w:t>
      </w:r>
      <w:r>
        <w:rPr>
          <w:rFonts w:ascii="仿宋" w:eastAsia="仿宋" w:hAnsi="仿宋"/>
          <w:sz w:val="28"/>
        </w:rPr>
        <w:t>1</w:t>
      </w:r>
      <w:r>
        <w:rPr>
          <w:rFonts w:ascii="仿宋" w:eastAsia="仿宋" w:hAnsi="仿宋" w:hint="eastAsia"/>
          <w:sz w:val="28"/>
        </w:rPr>
        <w:t>-</w:t>
      </w:r>
      <w:r>
        <w:rPr>
          <w:rFonts w:ascii="仿宋" w:eastAsia="仿宋" w:hAnsi="仿宋"/>
          <w:sz w:val="28"/>
        </w:rPr>
        <w:t>12</w:t>
      </w:r>
      <w:r>
        <w:rPr>
          <w:rFonts w:ascii="仿宋" w:eastAsia="仿宋" w:hAnsi="仿宋" w:hint="eastAsia"/>
          <w:sz w:val="28"/>
        </w:rPr>
        <w:t>月，我市工业生产者出厂价格和购进价格环比累计分别上升</w:t>
      </w:r>
      <w:r>
        <w:rPr>
          <w:rFonts w:ascii="仿宋" w:eastAsia="仿宋" w:hAnsi="仿宋"/>
          <w:sz w:val="28"/>
        </w:rPr>
        <w:t>3.6</w:t>
      </w:r>
      <w:r>
        <w:rPr>
          <w:rFonts w:ascii="仿宋" w:eastAsia="仿宋" w:hAnsi="仿宋" w:hint="eastAsia"/>
          <w:sz w:val="28"/>
        </w:rPr>
        <w:t>%和</w:t>
      </w:r>
      <w:r>
        <w:rPr>
          <w:rFonts w:ascii="仿宋" w:eastAsia="仿宋" w:hAnsi="仿宋"/>
          <w:sz w:val="28"/>
        </w:rPr>
        <w:t>9.5</w:t>
      </w:r>
      <w:r>
        <w:rPr>
          <w:rFonts w:ascii="仿宋" w:eastAsia="仿宋" w:hAnsi="仿宋" w:hint="eastAsia"/>
          <w:sz w:val="28"/>
        </w:rPr>
        <w:t>%。</w:t>
      </w:r>
    </w:p>
    <w:p w:rsidR="005B21C6" w:rsidRDefault="005B21C6" w:rsidP="005B21C6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从同比看，受上</w:t>
      </w:r>
      <w:r>
        <w:rPr>
          <w:rFonts w:ascii="仿宋" w:eastAsia="仿宋" w:hAnsi="仿宋"/>
          <w:sz w:val="28"/>
        </w:rPr>
        <w:t>年</w:t>
      </w:r>
      <w:r>
        <w:rPr>
          <w:rFonts w:ascii="仿宋" w:eastAsia="仿宋" w:hAnsi="仿宋" w:hint="eastAsia"/>
          <w:sz w:val="28"/>
        </w:rPr>
        <w:t>价格下降“翘尾”因素的</w:t>
      </w:r>
      <w:r>
        <w:rPr>
          <w:rFonts w:ascii="仿宋" w:eastAsia="仿宋" w:hAnsi="仿宋"/>
          <w:sz w:val="28"/>
        </w:rPr>
        <w:t>影响，</w:t>
      </w: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～2</w:t>
      </w:r>
      <w:r>
        <w:rPr>
          <w:rFonts w:ascii="仿宋" w:eastAsia="仿宋" w:hAnsi="仿宋" w:hint="eastAsia"/>
          <w:sz w:val="28"/>
        </w:rPr>
        <w:t>月，我市工业生产者出厂价格和购进</w:t>
      </w:r>
      <w:r>
        <w:rPr>
          <w:rFonts w:ascii="仿宋" w:eastAsia="仿宋" w:hAnsi="仿宋"/>
          <w:sz w:val="28"/>
        </w:rPr>
        <w:t>价格</w:t>
      </w:r>
      <w:r>
        <w:rPr>
          <w:rFonts w:ascii="仿宋" w:eastAsia="仿宋" w:hAnsi="仿宋" w:hint="eastAsia"/>
          <w:sz w:val="28"/>
        </w:rPr>
        <w:t>同比均继续维持上</w:t>
      </w:r>
      <w:r>
        <w:rPr>
          <w:rFonts w:ascii="仿宋" w:eastAsia="仿宋" w:hAnsi="仿宋"/>
          <w:sz w:val="28"/>
        </w:rPr>
        <w:t>年</w:t>
      </w:r>
      <w:r>
        <w:rPr>
          <w:rFonts w:ascii="仿宋" w:eastAsia="仿宋" w:hAnsi="仿宋" w:hint="eastAsia"/>
          <w:sz w:val="28"/>
        </w:rPr>
        <w:t>的下降</w:t>
      </w:r>
      <w:r>
        <w:rPr>
          <w:rFonts w:ascii="仿宋" w:eastAsia="仿宋" w:hAnsi="仿宋"/>
          <w:sz w:val="28"/>
        </w:rPr>
        <w:t>态势</w:t>
      </w:r>
      <w:r>
        <w:rPr>
          <w:rFonts w:ascii="仿宋" w:eastAsia="仿宋" w:hAnsi="仿宋" w:hint="eastAsia"/>
          <w:sz w:val="28"/>
        </w:rPr>
        <w:t>，但</w:t>
      </w:r>
      <w:proofErr w:type="gramStart"/>
      <w:r>
        <w:rPr>
          <w:rFonts w:ascii="仿宋" w:eastAsia="仿宋" w:hAnsi="仿宋"/>
          <w:sz w:val="28"/>
        </w:rPr>
        <w:t>降幅收</w:t>
      </w:r>
      <w:proofErr w:type="gramEnd"/>
      <w:r>
        <w:rPr>
          <w:rFonts w:ascii="仿宋" w:eastAsia="仿宋" w:hAnsi="仿宋"/>
          <w:sz w:val="28"/>
        </w:rPr>
        <w:t>窄</w:t>
      </w:r>
      <w:r>
        <w:rPr>
          <w:rFonts w:ascii="仿宋" w:eastAsia="仿宋" w:hAnsi="仿宋" w:hint="eastAsia"/>
          <w:sz w:val="28"/>
        </w:rPr>
        <w:t>；3月份开始</w:t>
      </w:r>
      <w:r>
        <w:rPr>
          <w:rFonts w:ascii="仿宋" w:eastAsia="仿宋" w:hAnsi="仿宋"/>
          <w:sz w:val="28"/>
        </w:rPr>
        <w:t>，</w:t>
      </w:r>
      <w:r>
        <w:rPr>
          <w:rFonts w:ascii="仿宋" w:eastAsia="仿宋" w:hAnsi="仿宋" w:hint="eastAsia"/>
          <w:sz w:val="28"/>
        </w:rPr>
        <w:t>两个</w:t>
      </w:r>
      <w:r>
        <w:rPr>
          <w:rFonts w:ascii="仿宋" w:eastAsia="仿宋" w:hAnsi="仿宋"/>
          <w:sz w:val="28"/>
        </w:rPr>
        <w:t>价格</w:t>
      </w:r>
      <w:r>
        <w:rPr>
          <w:rFonts w:ascii="仿宋" w:eastAsia="仿宋" w:hAnsi="仿宋" w:hint="eastAsia"/>
          <w:sz w:val="28"/>
        </w:rPr>
        <w:t>分别在</w:t>
      </w:r>
      <w:r>
        <w:rPr>
          <w:rFonts w:ascii="仿宋" w:eastAsia="仿宋" w:hAnsi="仿宋"/>
          <w:sz w:val="28"/>
        </w:rPr>
        <w:t>持续了</w:t>
      </w:r>
      <w:r>
        <w:rPr>
          <w:rFonts w:ascii="仿宋" w:eastAsia="仿宋" w:hAnsi="仿宋" w:hint="eastAsia"/>
          <w:sz w:val="28"/>
        </w:rPr>
        <w:t>27个月和12个月</w:t>
      </w:r>
      <w:r>
        <w:rPr>
          <w:rFonts w:ascii="仿宋" w:eastAsia="仿宋" w:hAnsi="仿宋"/>
          <w:sz w:val="28"/>
        </w:rPr>
        <w:t>的</w:t>
      </w:r>
      <w:r>
        <w:rPr>
          <w:rFonts w:ascii="仿宋" w:eastAsia="仿宋" w:hAnsi="仿宋" w:hint="eastAsia"/>
          <w:sz w:val="28"/>
        </w:rPr>
        <w:t>同比</w:t>
      </w:r>
      <w:r>
        <w:rPr>
          <w:rFonts w:ascii="仿宋" w:eastAsia="仿宋" w:hAnsi="仿宋"/>
          <w:sz w:val="28"/>
        </w:rPr>
        <w:t>下降</w:t>
      </w:r>
      <w:r>
        <w:rPr>
          <w:rFonts w:ascii="仿宋" w:eastAsia="仿宋" w:hAnsi="仿宋" w:hint="eastAsia"/>
          <w:sz w:val="28"/>
        </w:rPr>
        <w:t>后，均首次</w:t>
      </w:r>
      <w:r>
        <w:rPr>
          <w:rFonts w:ascii="仿宋" w:eastAsia="仿宋" w:hAnsi="仿宋"/>
          <w:sz w:val="28"/>
        </w:rPr>
        <w:t>出现</w:t>
      </w:r>
      <w:r>
        <w:rPr>
          <w:rFonts w:ascii="仿宋" w:eastAsia="仿宋" w:hAnsi="仿宋" w:hint="eastAsia"/>
          <w:sz w:val="28"/>
        </w:rPr>
        <w:t>上升，且升幅逐月扩大并维持高位，</w:t>
      </w:r>
      <w:r>
        <w:rPr>
          <w:rFonts w:ascii="仿宋" w:eastAsia="仿宋" w:hAnsi="仿宋"/>
          <w:sz w:val="28"/>
        </w:rPr>
        <w:t>其中</w:t>
      </w:r>
      <w:r>
        <w:rPr>
          <w:rFonts w:ascii="仿宋" w:eastAsia="仿宋" w:hAnsi="仿宋" w:hint="eastAsia"/>
          <w:sz w:val="28"/>
        </w:rPr>
        <w:t>10月出厂价格升幅（4.</w:t>
      </w:r>
      <w:r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%）为</w:t>
      </w:r>
      <w:r>
        <w:rPr>
          <w:rFonts w:ascii="仿宋" w:eastAsia="仿宋" w:hAnsi="仿宋"/>
          <w:sz w:val="28"/>
        </w:rPr>
        <w:t>47</w:t>
      </w:r>
      <w:r>
        <w:rPr>
          <w:rFonts w:ascii="仿宋" w:eastAsia="仿宋" w:hAnsi="仿宋" w:hint="eastAsia"/>
          <w:sz w:val="28"/>
        </w:rPr>
        <w:t>个月以来最大，11月购进价格升幅（12.9%）为</w:t>
      </w:r>
      <w:r>
        <w:rPr>
          <w:rFonts w:ascii="仿宋" w:eastAsia="仿宋" w:hAnsi="仿宋"/>
          <w:sz w:val="28"/>
        </w:rPr>
        <w:t>53</w:t>
      </w:r>
      <w:r>
        <w:rPr>
          <w:rFonts w:ascii="仿宋" w:eastAsia="仿宋" w:hAnsi="仿宋" w:hint="eastAsia"/>
          <w:sz w:val="28"/>
        </w:rPr>
        <w:t>个月以来最大；12月</w:t>
      </w:r>
      <w:r>
        <w:rPr>
          <w:rFonts w:ascii="仿宋" w:eastAsia="仿宋" w:hAnsi="仿宋"/>
          <w:sz w:val="28"/>
        </w:rPr>
        <w:t>，受</w:t>
      </w:r>
      <w:r>
        <w:rPr>
          <w:rFonts w:ascii="仿宋" w:eastAsia="仿宋" w:hAnsi="仿宋" w:hint="eastAsia"/>
          <w:sz w:val="28"/>
        </w:rPr>
        <w:t>价格</w:t>
      </w:r>
      <w:r>
        <w:rPr>
          <w:rFonts w:ascii="仿宋" w:eastAsia="仿宋" w:hAnsi="仿宋"/>
          <w:sz w:val="28"/>
        </w:rPr>
        <w:t>环比</w:t>
      </w:r>
      <w:r>
        <w:rPr>
          <w:rFonts w:ascii="仿宋" w:eastAsia="仿宋" w:hAnsi="仿宋" w:hint="eastAsia"/>
          <w:sz w:val="28"/>
        </w:rPr>
        <w:t>下降带动</w:t>
      </w:r>
      <w:r>
        <w:rPr>
          <w:rFonts w:ascii="仿宋" w:eastAsia="仿宋" w:hAnsi="仿宋"/>
          <w:sz w:val="28"/>
        </w:rPr>
        <w:t>，</w:t>
      </w:r>
      <w:r>
        <w:rPr>
          <w:rFonts w:ascii="仿宋" w:eastAsia="仿宋" w:hAnsi="仿宋" w:hint="eastAsia"/>
          <w:sz w:val="28"/>
        </w:rPr>
        <w:t>两个价格</w:t>
      </w:r>
      <w:r>
        <w:rPr>
          <w:rFonts w:ascii="仿宋" w:eastAsia="仿宋" w:hAnsi="仿宋"/>
          <w:sz w:val="28"/>
        </w:rPr>
        <w:t>同比升幅</w:t>
      </w:r>
      <w:r>
        <w:rPr>
          <w:rFonts w:ascii="仿宋" w:eastAsia="仿宋" w:hAnsi="仿宋" w:hint="eastAsia"/>
          <w:sz w:val="28"/>
        </w:rPr>
        <w:t>均</w:t>
      </w:r>
      <w:r>
        <w:rPr>
          <w:rFonts w:ascii="仿宋" w:eastAsia="仿宋" w:hAnsi="仿宋"/>
          <w:sz w:val="28"/>
        </w:rPr>
        <w:t>有所收窄</w:t>
      </w:r>
      <w:r>
        <w:rPr>
          <w:rFonts w:ascii="仿宋" w:eastAsia="仿宋" w:hAnsi="仿宋" w:hint="eastAsia"/>
          <w:sz w:val="28"/>
        </w:rPr>
        <w:t>。</w:t>
      </w:r>
      <w:r>
        <w:rPr>
          <w:rFonts w:ascii="仿宋" w:eastAsia="仿宋" w:hAnsi="仿宋"/>
          <w:sz w:val="28"/>
        </w:rPr>
        <w:t>2021</w:t>
      </w:r>
      <w:r>
        <w:rPr>
          <w:rFonts w:ascii="仿宋" w:eastAsia="仿宋" w:hAnsi="仿宋" w:hint="eastAsia"/>
          <w:sz w:val="28"/>
        </w:rPr>
        <w:t>年全年，我市工业生产者出厂价格和购进价格比上年分别上升</w:t>
      </w:r>
      <w:r>
        <w:rPr>
          <w:rFonts w:ascii="仿宋" w:eastAsia="仿宋" w:hAnsi="仿宋"/>
          <w:sz w:val="28"/>
        </w:rPr>
        <w:t>2.1</w:t>
      </w:r>
      <w:r>
        <w:rPr>
          <w:rFonts w:ascii="仿宋" w:eastAsia="仿宋" w:hAnsi="仿宋" w:hint="eastAsia"/>
          <w:sz w:val="28"/>
        </w:rPr>
        <w:t>%和</w:t>
      </w:r>
      <w:r>
        <w:rPr>
          <w:rFonts w:ascii="仿宋" w:eastAsia="仿宋" w:hAnsi="仿宋"/>
          <w:sz w:val="28"/>
        </w:rPr>
        <w:t>7.3%</w:t>
      </w:r>
      <w:r>
        <w:rPr>
          <w:rFonts w:ascii="仿宋" w:eastAsia="仿宋" w:hAnsi="仿宋" w:hint="eastAsia"/>
          <w:sz w:val="28"/>
        </w:rPr>
        <w:t>（见</w:t>
      </w:r>
      <w:r>
        <w:rPr>
          <w:rFonts w:ascii="仿宋" w:eastAsia="仿宋" w:hAnsi="仿宋"/>
          <w:sz w:val="28"/>
        </w:rPr>
        <w:t>图1</w:t>
      </w:r>
      <w:r>
        <w:rPr>
          <w:rFonts w:ascii="仿宋" w:eastAsia="仿宋" w:hAnsi="仿宋" w:hint="eastAsia"/>
          <w:sz w:val="28"/>
        </w:rPr>
        <w:t>）。</w:t>
      </w:r>
    </w:p>
    <w:p w:rsidR="005B21C6" w:rsidRDefault="005B21C6" w:rsidP="005B21C6">
      <w:pPr>
        <w:widowControl/>
        <w:jc w:val="left"/>
        <w:rPr>
          <w:rFonts w:ascii="宋体" w:hAnsi="宋体" w:cs="宋体"/>
          <w:kern w:val="0"/>
          <w:sz w:val="24"/>
        </w:rPr>
      </w:pPr>
      <w:r w:rsidRPr="003A460B"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143500" cy="2476500"/>
            <wp:effectExtent l="0" t="0" r="0" b="0"/>
            <wp:docPr id="5" name="图片 5" descr="C:\Users\YH\AppData\Roaming\Tencent\Users\960044045\QQ\WinTemp\RichOle\XB0]%1}}N_8EN%[8O{VIF}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:\Users\YH\AppData\Roaming\Tencent\Users\960044045\QQ\WinTemp\RichOle\XB0]%1}}N_8EN%[8O{VIF}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C6" w:rsidRDefault="005B21C6" w:rsidP="005B21C6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sz w:val="24"/>
        </w:rPr>
      </w:pPr>
      <w:r>
        <w:rPr>
          <w:rFonts w:ascii="黑体" w:eastAsia="黑体" w:hAnsi="黑体" w:cs="宋体" w:hint="eastAsia"/>
          <w:b/>
          <w:bCs/>
          <w:sz w:val="24"/>
        </w:rPr>
        <w:t>图</w:t>
      </w:r>
      <w:r>
        <w:rPr>
          <w:rFonts w:ascii="黑体" w:eastAsia="黑体" w:hAnsi="黑体" w:cs="宋体"/>
          <w:b/>
          <w:bCs/>
          <w:sz w:val="24"/>
        </w:rPr>
        <w:t xml:space="preserve">1 </w:t>
      </w:r>
      <w:r>
        <w:rPr>
          <w:rFonts w:ascii="黑体" w:eastAsia="黑体" w:hAnsi="黑体" w:cs="宋体" w:hint="eastAsia"/>
          <w:b/>
          <w:bCs/>
          <w:sz w:val="24"/>
        </w:rPr>
        <w:t xml:space="preserve"> 2</w:t>
      </w:r>
      <w:r>
        <w:rPr>
          <w:rFonts w:ascii="黑体" w:eastAsia="黑体" w:hAnsi="黑体" w:cs="宋体"/>
          <w:b/>
          <w:bCs/>
          <w:sz w:val="24"/>
        </w:rPr>
        <w:t>020</w:t>
      </w:r>
      <w:r>
        <w:rPr>
          <w:rFonts w:ascii="黑体" w:eastAsia="黑体" w:hAnsi="黑体" w:cs="宋体" w:hint="eastAsia"/>
          <w:b/>
          <w:bCs/>
          <w:sz w:val="24"/>
        </w:rPr>
        <w:t>年</w:t>
      </w:r>
      <w:r>
        <w:rPr>
          <w:rFonts w:ascii="黑体" w:eastAsia="黑体" w:hAnsi="黑体" w:cs="宋体"/>
          <w:b/>
          <w:bCs/>
          <w:sz w:val="24"/>
        </w:rPr>
        <w:t>以</w:t>
      </w:r>
      <w:r>
        <w:rPr>
          <w:rFonts w:ascii="黑体" w:eastAsia="黑体" w:hAnsi="黑体" w:cs="宋体" w:hint="eastAsia"/>
          <w:b/>
          <w:bCs/>
          <w:sz w:val="24"/>
        </w:rPr>
        <w:t>来上海工业生产者价格月度同比指数</w:t>
      </w:r>
    </w:p>
    <w:p w:rsidR="005B21C6" w:rsidRDefault="005B21C6" w:rsidP="005B21C6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sz w:val="24"/>
        </w:rPr>
      </w:pPr>
    </w:p>
    <w:p w:rsidR="005B21C6" w:rsidRDefault="005B21C6" w:rsidP="005B21C6">
      <w:pPr>
        <w:pStyle w:val="4"/>
        <w:spacing w:line="360" w:lineRule="auto"/>
        <w:ind w:firstLineChars="200" w:firstLine="562"/>
        <w:rPr>
          <w:rFonts w:ascii="楷体_GB2312" w:eastAsia="楷体_GB2312" w:hAnsi="黑体"/>
          <w:sz w:val="28"/>
        </w:rPr>
      </w:pPr>
      <w:r>
        <w:rPr>
          <w:rFonts w:ascii="楷体_GB2312" w:eastAsia="楷体_GB2312" w:hAnsi="黑体" w:hint="eastAsia"/>
          <w:sz w:val="28"/>
        </w:rPr>
        <w:t>二、石油</w:t>
      </w:r>
      <w:r>
        <w:rPr>
          <w:rFonts w:ascii="楷体_GB2312" w:eastAsia="楷体_GB2312" w:hAnsi="黑体"/>
          <w:sz w:val="28"/>
        </w:rPr>
        <w:t>、化工、</w:t>
      </w:r>
      <w:r>
        <w:rPr>
          <w:rFonts w:ascii="楷体_GB2312" w:eastAsia="楷体_GB2312" w:hAnsi="黑体" w:hint="eastAsia"/>
          <w:sz w:val="28"/>
        </w:rPr>
        <w:t>钢铁等行业</w:t>
      </w:r>
      <w:r>
        <w:rPr>
          <w:rFonts w:ascii="楷体_GB2312" w:eastAsia="楷体_GB2312" w:hAnsi="黑体"/>
          <w:sz w:val="28"/>
        </w:rPr>
        <w:t>价格上升是</w:t>
      </w:r>
      <w:r>
        <w:rPr>
          <w:rFonts w:ascii="楷体_GB2312" w:eastAsia="楷体_GB2312" w:hAnsi="黑体" w:hint="eastAsia"/>
          <w:sz w:val="28"/>
        </w:rPr>
        <w:t>上拉</w:t>
      </w:r>
      <w:r>
        <w:rPr>
          <w:rFonts w:ascii="楷体_GB2312" w:eastAsia="楷体_GB2312" w:hAnsi="黑体"/>
          <w:sz w:val="28"/>
        </w:rPr>
        <w:t>出厂价格指数的主要</w:t>
      </w:r>
      <w:r>
        <w:rPr>
          <w:rFonts w:ascii="楷体_GB2312" w:eastAsia="楷体_GB2312" w:hAnsi="黑体" w:hint="eastAsia"/>
          <w:sz w:val="28"/>
        </w:rPr>
        <w:t>因素</w:t>
      </w:r>
    </w:p>
    <w:p w:rsidR="005B21C6" w:rsidRDefault="005B21C6" w:rsidP="005B21C6">
      <w:pPr>
        <w:widowControl/>
        <w:spacing w:line="360" w:lineRule="auto"/>
        <w:ind w:firstLineChars="200" w:firstLine="560"/>
        <w:rPr>
          <w:rFonts w:ascii="仿宋" w:eastAsia="仿宋" w:hAnsi="仿宋"/>
          <w:bCs/>
          <w:color w:val="000000"/>
          <w:sz w:val="28"/>
        </w:rPr>
      </w:pPr>
      <w:r>
        <w:rPr>
          <w:rFonts w:ascii="仿宋" w:eastAsia="仿宋" w:hAnsi="仿宋"/>
          <w:bCs/>
          <w:color w:val="000000"/>
          <w:sz w:val="28"/>
        </w:rPr>
        <w:t>2021</w:t>
      </w:r>
      <w:r>
        <w:rPr>
          <w:rFonts w:ascii="仿宋" w:eastAsia="仿宋" w:hAnsi="仿宋" w:hint="eastAsia"/>
          <w:bCs/>
          <w:color w:val="000000"/>
          <w:sz w:val="28"/>
        </w:rPr>
        <w:t>年，</w:t>
      </w:r>
      <w:r>
        <w:rPr>
          <w:rFonts w:ascii="仿宋" w:eastAsia="仿宋" w:hAnsi="仿宋"/>
          <w:bCs/>
          <w:color w:val="000000"/>
          <w:sz w:val="28"/>
        </w:rPr>
        <w:t>受</w:t>
      </w:r>
      <w:r>
        <w:rPr>
          <w:rFonts w:ascii="仿宋" w:eastAsia="仿宋" w:hAnsi="仿宋" w:hint="eastAsia"/>
          <w:bCs/>
          <w:color w:val="000000"/>
          <w:sz w:val="28"/>
        </w:rPr>
        <w:t>原油、</w:t>
      </w:r>
      <w:r>
        <w:rPr>
          <w:rFonts w:ascii="仿宋" w:eastAsia="仿宋" w:hAnsi="仿宋"/>
          <w:bCs/>
          <w:color w:val="000000"/>
          <w:sz w:val="28"/>
        </w:rPr>
        <w:t>煤炭等</w:t>
      </w:r>
      <w:r>
        <w:rPr>
          <w:rFonts w:ascii="仿宋" w:eastAsia="仿宋" w:hAnsi="仿宋" w:hint="eastAsia"/>
          <w:bCs/>
          <w:color w:val="000000"/>
          <w:sz w:val="28"/>
        </w:rPr>
        <w:t>大宗商品价格振荡走高</w:t>
      </w:r>
      <w:r>
        <w:rPr>
          <w:rFonts w:ascii="仿宋" w:eastAsia="仿宋" w:hAnsi="仿宋"/>
          <w:bCs/>
          <w:color w:val="000000"/>
          <w:sz w:val="28"/>
        </w:rPr>
        <w:t>等因素的影响</w:t>
      </w:r>
      <w:r>
        <w:rPr>
          <w:rFonts w:ascii="仿宋" w:eastAsia="仿宋" w:hAnsi="仿宋" w:hint="eastAsia"/>
          <w:bCs/>
          <w:color w:val="000000"/>
          <w:sz w:val="28"/>
        </w:rPr>
        <w:t>，我市</w:t>
      </w:r>
      <w:r>
        <w:rPr>
          <w:rFonts w:ascii="仿宋" w:eastAsia="仿宋" w:hAnsi="仿宋"/>
          <w:bCs/>
          <w:color w:val="000000"/>
          <w:sz w:val="28"/>
        </w:rPr>
        <w:t>石油煤炭及其他</w:t>
      </w:r>
      <w:r>
        <w:rPr>
          <w:rFonts w:ascii="仿宋" w:eastAsia="仿宋" w:hAnsi="仿宋" w:hint="eastAsia"/>
          <w:bCs/>
          <w:color w:val="000000"/>
          <w:sz w:val="28"/>
        </w:rPr>
        <w:t>燃</w:t>
      </w:r>
      <w:r>
        <w:rPr>
          <w:rFonts w:ascii="仿宋" w:eastAsia="仿宋" w:hAnsi="仿宋"/>
          <w:bCs/>
          <w:color w:val="000000"/>
          <w:sz w:val="28"/>
        </w:rPr>
        <w:t>料加工业出厂价格环比累计上升31.7%</w:t>
      </w:r>
      <w:r>
        <w:rPr>
          <w:rFonts w:ascii="仿宋" w:eastAsia="仿宋" w:hAnsi="仿宋" w:hint="eastAsia"/>
          <w:bCs/>
          <w:color w:val="000000"/>
          <w:sz w:val="28"/>
        </w:rPr>
        <w:t>；其</w:t>
      </w:r>
      <w:r>
        <w:rPr>
          <w:rFonts w:ascii="仿宋" w:eastAsia="仿宋" w:hAnsi="仿宋"/>
          <w:bCs/>
          <w:color w:val="000000"/>
          <w:sz w:val="28"/>
        </w:rPr>
        <w:t>相关的</w:t>
      </w:r>
      <w:r>
        <w:rPr>
          <w:rFonts w:ascii="仿宋" w:eastAsia="仿宋" w:hAnsi="仿宋" w:hint="eastAsia"/>
          <w:bCs/>
          <w:color w:val="000000"/>
          <w:sz w:val="28"/>
        </w:rPr>
        <w:t>化学原料</w:t>
      </w:r>
      <w:r>
        <w:rPr>
          <w:rFonts w:ascii="仿宋" w:eastAsia="仿宋" w:hAnsi="仿宋"/>
          <w:bCs/>
          <w:color w:val="000000"/>
          <w:sz w:val="28"/>
        </w:rPr>
        <w:t>和化学制品制造业</w:t>
      </w:r>
      <w:r>
        <w:rPr>
          <w:rFonts w:ascii="仿宋" w:eastAsia="仿宋" w:hAnsi="仿宋" w:hint="eastAsia"/>
          <w:bCs/>
          <w:color w:val="000000"/>
          <w:sz w:val="28"/>
        </w:rPr>
        <w:t>价格</w:t>
      </w:r>
      <w:r>
        <w:rPr>
          <w:rFonts w:ascii="仿宋" w:eastAsia="仿宋" w:hAnsi="仿宋"/>
          <w:bCs/>
          <w:color w:val="000000"/>
          <w:sz w:val="28"/>
        </w:rPr>
        <w:t>环比累计上升9.5%</w:t>
      </w:r>
      <w:r>
        <w:rPr>
          <w:rFonts w:ascii="仿宋" w:eastAsia="仿宋" w:hAnsi="仿宋" w:hint="eastAsia"/>
          <w:bCs/>
          <w:color w:val="000000"/>
          <w:sz w:val="28"/>
        </w:rPr>
        <w:t>。先后受铁矿石和煤炭价格上涨以及“双控”、“双碳”引发的市场供求矛盾等因素影响，我市黑色金属冶炼和压延加工业出厂价格环比累计</w:t>
      </w:r>
      <w:r>
        <w:rPr>
          <w:rFonts w:ascii="仿宋" w:eastAsia="仿宋" w:hAnsi="仿宋"/>
          <w:bCs/>
          <w:color w:val="000000"/>
          <w:sz w:val="28"/>
        </w:rPr>
        <w:t>上升20.2%</w:t>
      </w:r>
      <w:r>
        <w:rPr>
          <w:rFonts w:ascii="仿宋" w:eastAsia="仿宋" w:hAnsi="仿宋" w:hint="eastAsia"/>
          <w:bCs/>
          <w:color w:val="000000"/>
          <w:sz w:val="28"/>
        </w:rPr>
        <w:t>。从同比看，</w:t>
      </w:r>
      <w:r>
        <w:rPr>
          <w:rFonts w:ascii="仿宋" w:eastAsia="仿宋" w:hAnsi="仿宋"/>
          <w:bCs/>
          <w:color w:val="000000"/>
          <w:sz w:val="28"/>
        </w:rPr>
        <w:t>2021</w:t>
      </w:r>
      <w:r>
        <w:rPr>
          <w:rFonts w:ascii="仿宋" w:eastAsia="仿宋" w:hAnsi="仿宋" w:hint="eastAsia"/>
          <w:bCs/>
          <w:color w:val="000000"/>
          <w:sz w:val="28"/>
        </w:rPr>
        <w:t>年</w:t>
      </w:r>
      <w:r>
        <w:rPr>
          <w:rFonts w:ascii="仿宋" w:eastAsia="仿宋" w:hAnsi="仿宋"/>
          <w:bCs/>
          <w:color w:val="000000"/>
          <w:sz w:val="28"/>
        </w:rPr>
        <w:t>，</w:t>
      </w:r>
      <w:r>
        <w:rPr>
          <w:rFonts w:ascii="仿宋" w:eastAsia="仿宋" w:hAnsi="仿宋" w:hint="eastAsia"/>
          <w:bCs/>
          <w:color w:val="000000"/>
          <w:sz w:val="28"/>
        </w:rPr>
        <w:t>我市</w:t>
      </w:r>
      <w:r>
        <w:rPr>
          <w:rFonts w:ascii="仿宋" w:eastAsia="仿宋" w:hAnsi="仿宋"/>
          <w:bCs/>
          <w:color w:val="000000"/>
          <w:sz w:val="28"/>
        </w:rPr>
        <w:t>石油煤炭及其他</w:t>
      </w:r>
      <w:r>
        <w:rPr>
          <w:rFonts w:ascii="仿宋" w:eastAsia="仿宋" w:hAnsi="仿宋" w:hint="eastAsia"/>
          <w:bCs/>
          <w:color w:val="000000"/>
          <w:sz w:val="28"/>
        </w:rPr>
        <w:t>燃</w:t>
      </w:r>
      <w:r>
        <w:rPr>
          <w:rFonts w:ascii="仿宋" w:eastAsia="仿宋" w:hAnsi="仿宋"/>
          <w:bCs/>
          <w:color w:val="000000"/>
          <w:sz w:val="28"/>
        </w:rPr>
        <w:t>料加工业</w:t>
      </w:r>
      <w:r>
        <w:rPr>
          <w:rFonts w:ascii="仿宋" w:eastAsia="仿宋" w:hAnsi="仿宋" w:hint="eastAsia"/>
          <w:bCs/>
          <w:color w:val="000000"/>
          <w:sz w:val="28"/>
        </w:rPr>
        <w:t>、化学原料和化学制品制造业、黑色金属冶炼和压延加工业3个</w:t>
      </w:r>
      <w:r>
        <w:rPr>
          <w:rFonts w:ascii="仿宋" w:eastAsia="仿宋" w:hAnsi="仿宋"/>
          <w:bCs/>
          <w:color w:val="000000"/>
          <w:sz w:val="28"/>
        </w:rPr>
        <w:t>行业的出厂价格分别</w:t>
      </w:r>
      <w:r>
        <w:rPr>
          <w:rFonts w:ascii="仿宋" w:eastAsia="仿宋" w:hAnsi="仿宋" w:hint="eastAsia"/>
          <w:bCs/>
          <w:color w:val="000000"/>
          <w:sz w:val="28"/>
        </w:rPr>
        <w:t>上升</w:t>
      </w:r>
      <w:r>
        <w:rPr>
          <w:rFonts w:ascii="仿宋" w:eastAsia="仿宋" w:hAnsi="仿宋"/>
          <w:bCs/>
          <w:color w:val="000000"/>
          <w:sz w:val="28"/>
        </w:rPr>
        <w:t>21.1%</w:t>
      </w:r>
      <w:r>
        <w:rPr>
          <w:rFonts w:ascii="仿宋" w:eastAsia="仿宋" w:hAnsi="仿宋" w:hint="eastAsia"/>
          <w:bCs/>
          <w:color w:val="000000"/>
          <w:sz w:val="28"/>
        </w:rPr>
        <w:t>、</w:t>
      </w:r>
      <w:r>
        <w:rPr>
          <w:rFonts w:ascii="仿宋" w:eastAsia="仿宋" w:hAnsi="仿宋"/>
          <w:bCs/>
          <w:color w:val="000000"/>
          <w:sz w:val="28"/>
        </w:rPr>
        <w:t>15.9%</w:t>
      </w:r>
      <w:r>
        <w:rPr>
          <w:rFonts w:ascii="仿宋" w:eastAsia="仿宋" w:hAnsi="仿宋" w:hint="eastAsia"/>
          <w:bCs/>
          <w:color w:val="000000"/>
          <w:sz w:val="28"/>
        </w:rPr>
        <w:t>和</w:t>
      </w:r>
      <w:r>
        <w:rPr>
          <w:rFonts w:ascii="仿宋" w:eastAsia="仿宋" w:hAnsi="仿宋"/>
          <w:bCs/>
          <w:color w:val="000000"/>
          <w:sz w:val="28"/>
        </w:rPr>
        <w:t>29.4%，是</w:t>
      </w:r>
      <w:r>
        <w:rPr>
          <w:rFonts w:ascii="仿宋" w:eastAsia="仿宋" w:hAnsi="仿宋" w:hint="eastAsia"/>
          <w:bCs/>
          <w:color w:val="000000"/>
          <w:sz w:val="28"/>
        </w:rPr>
        <w:t>拉动我市PPI总指数上升</w:t>
      </w:r>
      <w:r>
        <w:rPr>
          <w:rFonts w:ascii="仿宋" w:eastAsia="仿宋" w:hAnsi="仿宋"/>
          <w:bCs/>
          <w:color w:val="000000"/>
          <w:sz w:val="28"/>
        </w:rPr>
        <w:t>的主要</w:t>
      </w:r>
      <w:r>
        <w:rPr>
          <w:rFonts w:ascii="仿宋" w:eastAsia="仿宋" w:hAnsi="仿宋" w:hint="eastAsia"/>
          <w:bCs/>
          <w:color w:val="000000"/>
          <w:sz w:val="28"/>
        </w:rPr>
        <w:t>因素。</w:t>
      </w:r>
    </w:p>
    <w:p w:rsidR="005B21C6" w:rsidRDefault="005B21C6" w:rsidP="005B21C6">
      <w:pPr>
        <w:widowControl/>
        <w:spacing w:line="360" w:lineRule="auto"/>
        <w:ind w:firstLineChars="200" w:firstLine="562"/>
        <w:rPr>
          <w:rFonts w:ascii="楷体_GB2312" w:eastAsia="楷体_GB2312" w:hAnsi="黑体" w:cs="Arial"/>
          <w:b/>
          <w:kern w:val="0"/>
          <w:sz w:val="28"/>
          <w:szCs w:val="18"/>
        </w:rPr>
      </w:pPr>
      <w:r>
        <w:rPr>
          <w:rFonts w:ascii="楷体_GB2312" w:eastAsia="楷体_GB2312" w:hAnsi="黑体" w:cs="Arial" w:hint="eastAsia"/>
          <w:b/>
          <w:kern w:val="0"/>
          <w:sz w:val="28"/>
          <w:szCs w:val="18"/>
        </w:rPr>
        <w:t>三、汽车、</w:t>
      </w:r>
      <w:r>
        <w:rPr>
          <w:rFonts w:ascii="楷体_GB2312" w:eastAsia="楷体_GB2312" w:hAnsi="黑体" w:cs="Arial"/>
          <w:b/>
          <w:kern w:val="0"/>
          <w:sz w:val="28"/>
          <w:szCs w:val="18"/>
        </w:rPr>
        <w:t>电子</w:t>
      </w:r>
      <w:r>
        <w:rPr>
          <w:rFonts w:ascii="楷体_GB2312" w:eastAsia="楷体_GB2312" w:hAnsi="黑体" w:cs="Arial" w:hint="eastAsia"/>
          <w:b/>
          <w:kern w:val="0"/>
          <w:sz w:val="28"/>
          <w:szCs w:val="18"/>
        </w:rPr>
        <w:t>等</w:t>
      </w:r>
      <w:r>
        <w:rPr>
          <w:rFonts w:ascii="楷体_GB2312" w:eastAsia="楷体_GB2312" w:hAnsi="黑体" w:cs="Arial"/>
          <w:b/>
          <w:kern w:val="0"/>
          <w:sz w:val="28"/>
          <w:szCs w:val="18"/>
        </w:rPr>
        <w:t>行业价格</w:t>
      </w:r>
      <w:r>
        <w:rPr>
          <w:rFonts w:ascii="楷体_GB2312" w:eastAsia="楷体_GB2312" w:hAnsi="黑体" w:cs="Arial" w:hint="eastAsia"/>
          <w:b/>
          <w:kern w:val="0"/>
          <w:sz w:val="28"/>
          <w:szCs w:val="18"/>
        </w:rPr>
        <w:t>下降是平抑出厂价格指数的主要因素</w:t>
      </w:r>
    </w:p>
    <w:p w:rsidR="005B21C6" w:rsidRDefault="005B21C6" w:rsidP="005B21C6">
      <w:pPr>
        <w:widowControl/>
        <w:spacing w:line="360" w:lineRule="auto"/>
        <w:ind w:firstLineChars="200" w:firstLine="560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我市汽车制造业、计算机通信和其他电子设备制造业</w:t>
      </w:r>
      <w:r>
        <w:rPr>
          <w:rFonts w:ascii="仿宋" w:eastAsia="仿宋" w:hAnsi="仿宋"/>
          <w:bCs/>
          <w:sz w:val="28"/>
        </w:rPr>
        <w:t>2</w:t>
      </w:r>
      <w:r>
        <w:rPr>
          <w:rFonts w:ascii="仿宋" w:eastAsia="仿宋" w:hAnsi="仿宋" w:hint="eastAsia"/>
          <w:bCs/>
          <w:sz w:val="28"/>
        </w:rPr>
        <w:t>个大类行业受产品</w:t>
      </w:r>
      <w:r>
        <w:rPr>
          <w:rFonts w:ascii="仿宋" w:eastAsia="仿宋" w:hAnsi="仿宋"/>
          <w:bCs/>
          <w:sz w:val="28"/>
        </w:rPr>
        <w:t>特点及行业发展周期的影响，</w:t>
      </w:r>
      <w:r>
        <w:rPr>
          <w:rFonts w:ascii="仿宋" w:eastAsia="仿宋" w:hAnsi="仿宋" w:hint="eastAsia"/>
          <w:bCs/>
          <w:sz w:val="28"/>
        </w:rPr>
        <w:t>近年来</w:t>
      </w:r>
      <w:r>
        <w:rPr>
          <w:rFonts w:ascii="仿宋" w:eastAsia="仿宋" w:hAnsi="仿宋"/>
          <w:bCs/>
          <w:sz w:val="28"/>
        </w:rPr>
        <w:t>价格处于趋降</w:t>
      </w:r>
      <w:r>
        <w:rPr>
          <w:rFonts w:ascii="仿宋" w:eastAsia="仿宋" w:hAnsi="仿宋" w:hint="eastAsia"/>
          <w:bCs/>
          <w:sz w:val="28"/>
        </w:rPr>
        <w:t>通道中。</w:t>
      </w:r>
      <w:r>
        <w:rPr>
          <w:rFonts w:ascii="仿宋" w:eastAsia="仿宋" w:hAnsi="仿宋" w:hint="eastAsia"/>
          <w:bCs/>
          <w:sz w:val="28"/>
        </w:rPr>
        <w:lastRenderedPageBreak/>
        <w:t>从环比看，</w:t>
      </w:r>
      <w:r>
        <w:rPr>
          <w:rFonts w:ascii="仿宋" w:eastAsia="仿宋" w:hAnsi="仿宋"/>
          <w:bCs/>
          <w:sz w:val="28"/>
        </w:rPr>
        <w:t>2021</w:t>
      </w:r>
      <w:r>
        <w:rPr>
          <w:rFonts w:ascii="仿宋" w:eastAsia="仿宋" w:hAnsi="仿宋" w:hint="eastAsia"/>
          <w:bCs/>
          <w:sz w:val="28"/>
        </w:rPr>
        <w:t>年</w:t>
      </w:r>
      <w:r>
        <w:rPr>
          <w:rFonts w:ascii="仿宋" w:eastAsia="仿宋" w:hAnsi="仿宋"/>
          <w:bCs/>
          <w:sz w:val="28"/>
        </w:rPr>
        <w:t>，两个行业</w:t>
      </w:r>
      <w:r>
        <w:rPr>
          <w:rFonts w:ascii="仿宋" w:eastAsia="仿宋" w:hAnsi="仿宋" w:hint="eastAsia"/>
          <w:bCs/>
          <w:sz w:val="28"/>
        </w:rPr>
        <w:t>产品</w:t>
      </w:r>
      <w:r>
        <w:rPr>
          <w:rFonts w:ascii="仿宋" w:eastAsia="仿宋" w:hAnsi="仿宋"/>
          <w:bCs/>
          <w:sz w:val="28"/>
        </w:rPr>
        <w:t>出厂价格环比累计分别下降1.4%和2.6%</w:t>
      </w:r>
      <w:r>
        <w:rPr>
          <w:rFonts w:ascii="仿宋" w:eastAsia="仿宋" w:hAnsi="仿宋" w:hint="eastAsia"/>
          <w:bCs/>
          <w:sz w:val="28"/>
        </w:rPr>
        <w:t>，而从同比看，在新降价因素和</w:t>
      </w:r>
      <w:r>
        <w:rPr>
          <w:rFonts w:ascii="仿宋" w:eastAsia="仿宋" w:hAnsi="仿宋"/>
          <w:bCs/>
          <w:sz w:val="28"/>
        </w:rPr>
        <w:t>上年价格下降</w:t>
      </w:r>
      <w:r>
        <w:rPr>
          <w:rFonts w:ascii="仿宋" w:eastAsia="仿宋" w:hAnsi="仿宋" w:hint="eastAsia"/>
          <w:bCs/>
          <w:sz w:val="28"/>
        </w:rPr>
        <w:t>“翘尾”因素的双重</w:t>
      </w:r>
      <w:r>
        <w:rPr>
          <w:rFonts w:ascii="仿宋" w:eastAsia="仿宋" w:hAnsi="仿宋"/>
          <w:bCs/>
          <w:sz w:val="28"/>
        </w:rPr>
        <w:t>影响</w:t>
      </w:r>
      <w:r>
        <w:rPr>
          <w:rFonts w:ascii="仿宋" w:eastAsia="仿宋" w:hAnsi="仿宋" w:hint="eastAsia"/>
          <w:bCs/>
          <w:sz w:val="28"/>
        </w:rPr>
        <w:t>下</w:t>
      </w:r>
      <w:r>
        <w:rPr>
          <w:rFonts w:ascii="仿宋" w:eastAsia="仿宋" w:hAnsi="仿宋"/>
          <w:bCs/>
          <w:sz w:val="28"/>
        </w:rPr>
        <w:t>，</w:t>
      </w:r>
      <w:r>
        <w:rPr>
          <w:rFonts w:ascii="仿宋" w:eastAsia="仿宋" w:hAnsi="仿宋" w:hint="eastAsia"/>
          <w:bCs/>
          <w:sz w:val="28"/>
        </w:rPr>
        <w:t>两个行业出厂</w:t>
      </w:r>
      <w:r>
        <w:rPr>
          <w:rFonts w:ascii="仿宋" w:eastAsia="仿宋" w:hAnsi="仿宋"/>
          <w:bCs/>
          <w:sz w:val="28"/>
        </w:rPr>
        <w:t>价格</w:t>
      </w:r>
      <w:r>
        <w:rPr>
          <w:rFonts w:ascii="仿宋" w:eastAsia="仿宋" w:hAnsi="仿宋" w:hint="eastAsia"/>
          <w:bCs/>
          <w:sz w:val="28"/>
        </w:rPr>
        <w:t>分别下降</w:t>
      </w:r>
      <w:r>
        <w:rPr>
          <w:rFonts w:ascii="仿宋" w:eastAsia="仿宋" w:hAnsi="仿宋"/>
          <w:bCs/>
          <w:sz w:val="28"/>
        </w:rPr>
        <w:t>5.6</w:t>
      </w:r>
      <w:r>
        <w:rPr>
          <w:rFonts w:ascii="仿宋" w:eastAsia="仿宋" w:hAnsi="仿宋" w:hint="eastAsia"/>
          <w:bCs/>
          <w:sz w:val="28"/>
        </w:rPr>
        <w:t>%和</w:t>
      </w:r>
      <w:r>
        <w:rPr>
          <w:rFonts w:ascii="仿宋" w:eastAsia="仿宋" w:hAnsi="仿宋"/>
          <w:bCs/>
          <w:sz w:val="28"/>
        </w:rPr>
        <w:t>4.5</w:t>
      </w:r>
      <w:r>
        <w:rPr>
          <w:rFonts w:ascii="仿宋" w:eastAsia="仿宋" w:hAnsi="仿宋" w:hint="eastAsia"/>
          <w:bCs/>
          <w:sz w:val="28"/>
        </w:rPr>
        <w:t>%，部分平抑了大宗商品价格上涨带来的指数上升（见表</w:t>
      </w:r>
      <w:r>
        <w:rPr>
          <w:rFonts w:ascii="仿宋" w:eastAsia="仿宋" w:hAnsi="仿宋"/>
          <w:bCs/>
          <w:sz w:val="28"/>
        </w:rPr>
        <w:t>1</w:t>
      </w:r>
      <w:r>
        <w:rPr>
          <w:rFonts w:ascii="仿宋" w:eastAsia="仿宋" w:hAnsi="仿宋" w:hint="eastAsia"/>
          <w:bCs/>
          <w:sz w:val="28"/>
        </w:rPr>
        <w:t>）</w:t>
      </w:r>
      <w:r>
        <w:rPr>
          <w:rFonts w:ascii="仿宋" w:eastAsia="仿宋" w:hAnsi="仿宋"/>
          <w:bCs/>
          <w:sz w:val="28"/>
        </w:rPr>
        <w:t>。</w:t>
      </w:r>
    </w:p>
    <w:p w:rsidR="005B21C6" w:rsidRPr="003A460B" w:rsidRDefault="005B21C6" w:rsidP="005B21C6">
      <w:pPr>
        <w:widowControl/>
        <w:spacing w:line="360" w:lineRule="auto"/>
        <w:jc w:val="center"/>
        <w:rPr>
          <w:rFonts w:ascii="宋体" w:hAnsi="宋体" w:cs="宋体"/>
          <w:b/>
          <w:bCs/>
          <w:sz w:val="24"/>
        </w:rPr>
      </w:pPr>
      <w:r w:rsidRPr="003A460B">
        <w:rPr>
          <w:rFonts w:ascii="宋体" w:hAnsi="宋体" w:cs="宋体" w:hint="eastAsia"/>
          <w:b/>
          <w:bCs/>
          <w:sz w:val="24"/>
        </w:rPr>
        <w:t>表</w:t>
      </w:r>
      <w:r w:rsidRPr="003A460B">
        <w:rPr>
          <w:rFonts w:ascii="宋体" w:hAnsi="宋体" w:cs="宋体"/>
          <w:b/>
          <w:bCs/>
          <w:sz w:val="24"/>
        </w:rPr>
        <w:t>1  2021</w:t>
      </w:r>
      <w:r w:rsidRPr="003A460B">
        <w:rPr>
          <w:rFonts w:ascii="宋体" w:hAnsi="宋体" w:cs="宋体" w:hint="eastAsia"/>
          <w:b/>
          <w:bCs/>
          <w:sz w:val="24"/>
        </w:rPr>
        <w:t>年我市重点</w:t>
      </w:r>
      <w:r w:rsidRPr="003A460B">
        <w:rPr>
          <w:rFonts w:ascii="宋体" w:hAnsi="宋体" w:cs="宋体"/>
          <w:b/>
          <w:bCs/>
          <w:sz w:val="24"/>
        </w:rPr>
        <w:t>行业出厂价格</w:t>
      </w:r>
      <w:r w:rsidRPr="003A460B">
        <w:rPr>
          <w:rFonts w:ascii="宋体" w:hAnsi="宋体" w:cs="宋体" w:hint="eastAsia"/>
          <w:b/>
          <w:bCs/>
          <w:sz w:val="24"/>
        </w:rPr>
        <w:t>变动情况及对总指数的影响</w:t>
      </w: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4"/>
        <w:gridCol w:w="3539"/>
      </w:tblGrid>
      <w:tr w:rsidR="005B21C6" w:rsidTr="00005BC2">
        <w:tc>
          <w:tcPr>
            <w:tcW w:w="4434" w:type="dxa"/>
            <w:tcBorders>
              <w:left w:val="nil"/>
            </w:tcBorders>
            <w:shd w:val="clear" w:color="auto" w:fill="auto"/>
          </w:tcPr>
          <w:p w:rsidR="005B21C6" w:rsidRPr="003A460B" w:rsidRDefault="005B21C6" w:rsidP="00005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460B">
              <w:rPr>
                <w:rFonts w:ascii="宋体" w:hAnsi="宋体" w:cs="宋体" w:hint="eastAsia"/>
                <w:color w:val="000000"/>
                <w:szCs w:val="21"/>
              </w:rPr>
              <w:t>类  别</w:t>
            </w:r>
          </w:p>
        </w:tc>
        <w:tc>
          <w:tcPr>
            <w:tcW w:w="3539" w:type="dxa"/>
            <w:tcBorders>
              <w:right w:val="nil"/>
            </w:tcBorders>
            <w:shd w:val="clear" w:color="auto" w:fill="auto"/>
          </w:tcPr>
          <w:p w:rsidR="005B21C6" w:rsidRPr="003A460B" w:rsidRDefault="005B21C6" w:rsidP="00005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3A460B">
              <w:rPr>
                <w:rFonts w:ascii="宋体" w:hAnsi="宋体" w:cs="宋体" w:hint="eastAsia"/>
                <w:color w:val="000000"/>
                <w:szCs w:val="21"/>
              </w:rPr>
              <w:t>比上年升降幅度（%）</w:t>
            </w:r>
          </w:p>
        </w:tc>
      </w:tr>
      <w:tr w:rsidR="005B21C6" w:rsidTr="00005BC2">
        <w:tc>
          <w:tcPr>
            <w:tcW w:w="4434" w:type="dxa"/>
            <w:tcBorders>
              <w:left w:val="nil"/>
            </w:tcBorders>
            <w:shd w:val="clear" w:color="auto" w:fill="auto"/>
            <w:vAlign w:val="center"/>
          </w:tcPr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 w:hint="eastAsia"/>
                <w:color w:val="000000"/>
                <w:szCs w:val="21"/>
              </w:rPr>
              <w:t>工业生产者出厂价格</w:t>
            </w:r>
          </w:p>
        </w:tc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/>
                <w:color w:val="000000"/>
                <w:szCs w:val="21"/>
              </w:rPr>
              <w:t>2.1</w:t>
            </w:r>
          </w:p>
        </w:tc>
      </w:tr>
      <w:tr w:rsidR="005B21C6" w:rsidTr="00005BC2">
        <w:tc>
          <w:tcPr>
            <w:tcW w:w="443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ind w:firstLineChars="150" w:firstLine="315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 w:hint="eastAsia"/>
                <w:color w:val="000000"/>
                <w:szCs w:val="21"/>
              </w:rPr>
              <w:t>#</w:t>
            </w:r>
            <w:r w:rsidRPr="003A460B"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 w:rsidRPr="003A460B">
              <w:rPr>
                <w:rFonts w:ascii="宋体" w:hAnsi="宋体" w:cs="宋体" w:hint="eastAsia"/>
                <w:color w:val="000000"/>
                <w:szCs w:val="21"/>
              </w:rPr>
              <w:t>石油煤炭及其他燃料加工业</w:t>
            </w:r>
          </w:p>
        </w:tc>
        <w:tc>
          <w:tcPr>
            <w:tcW w:w="353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/>
                <w:color w:val="000000"/>
                <w:szCs w:val="21"/>
              </w:rPr>
              <w:t>21.1</w:t>
            </w:r>
          </w:p>
        </w:tc>
      </w:tr>
      <w:tr w:rsidR="005B21C6" w:rsidTr="00005BC2">
        <w:tc>
          <w:tcPr>
            <w:tcW w:w="44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ind w:firstLineChars="150" w:firstLine="315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 w:hint="eastAsia"/>
                <w:color w:val="000000"/>
                <w:szCs w:val="21"/>
              </w:rPr>
              <w:t xml:space="preserve">  化学原料和化学制品制造业</w:t>
            </w:r>
          </w:p>
        </w:tc>
        <w:tc>
          <w:tcPr>
            <w:tcW w:w="353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/>
                <w:color w:val="000000"/>
                <w:szCs w:val="21"/>
              </w:rPr>
              <w:t>15.9</w:t>
            </w:r>
          </w:p>
        </w:tc>
      </w:tr>
      <w:tr w:rsidR="005B21C6" w:rsidTr="00005BC2">
        <w:tc>
          <w:tcPr>
            <w:tcW w:w="44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ind w:firstLineChars="250" w:firstLine="525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 w:hint="eastAsia"/>
                <w:color w:val="000000"/>
                <w:szCs w:val="21"/>
              </w:rPr>
              <w:t>黑色金属</w:t>
            </w:r>
            <w:r w:rsidRPr="003A460B">
              <w:rPr>
                <w:rFonts w:ascii="宋体" w:hAnsi="宋体" w:cs="宋体"/>
                <w:color w:val="000000"/>
                <w:szCs w:val="21"/>
              </w:rPr>
              <w:t>冶炼和压延加工业</w:t>
            </w:r>
          </w:p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ind w:firstLineChars="250" w:firstLine="525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 w:hint="eastAsia"/>
                <w:color w:val="000000"/>
                <w:szCs w:val="21"/>
              </w:rPr>
              <w:t>汽车制造业</w:t>
            </w:r>
          </w:p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ind w:firstLineChars="250" w:firstLine="525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 w:hint="eastAsia"/>
                <w:color w:val="000000"/>
                <w:szCs w:val="21"/>
              </w:rPr>
              <w:t>计算机</w:t>
            </w:r>
            <w:r w:rsidRPr="003A460B">
              <w:rPr>
                <w:rFonts w:ascii="宋体" w:hAnsi="宋体" w:cs="宋体"/>
                <w:color w:val="000000"/>
                <w:szCs w:val="21"/>
              </w:rPr>
              <w:t>、通信和其他电子设备制造业</w:t>
            </w:r>
          </w:p>
        </w:tc>
        <w:tc>
          <w:tcPr>
            <w:tcW w:w="35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/>
                <w:color w:val="000000"/>
                <w:szCs w:val="21"/>
              </w:rPr>
              <w:t>29.4</w:t>
            </w:r>
          </w:p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/>
                <w:color w:val="000000"/>
                <w:szCs w:val="21"/>
              </w:rPr>
              <w:t>-5.6</w:t>
            </w:r>
          </w:p>
          <w:p w:rsidR="005B21C6" w:rsidRPr="003A460B" w:rsidRDefault="005B21C6" w:rsidP="00005BC2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A460B">
              <w:rPr>
                <w:rFonts w:ascii="宋体" w:hAnsi="宋体" w:cs="宋体"/>
                <w:color w:val="000000"/>
                <w:szCs w:val="21"/>
              </w:rPr>
              <w:t>-4.5</w:t>
            </w:r>
          </w:p>
        </w:tc>
      </w:tr>
    </w:tbl>
    <w:p w:rsidR="005B21C6" w:rsidRDefault="005B21C6" w:rsidP="005B21C6">
      <w:pPr>
        <w:pStyle w:val="4"/>
        <w:spacing w:line="360" w:lineRule="auto"/>
        <w:ind w:firstLineChars="200" w:firstLine="562"/>
        <w:rPr>
          <w:rFonts w:ascii="楷体_GB2312" w:eastAsia="楷体_GB2312" w:hAnsi="黑体"/>
          <w:sz w:val="28"/>
        </w:rPr>
      </w:pPr>
    </w:p>
    <w:p w:rsidR="005B21C6" w:rsidRDefault="005B21C6" w:rsidP="005B21C6">
      <w:pPr>
        <w:pStyle w:val="4"/>
        <w:spacing w:line="360" w:lineRule="auto"/>
        <w:ind w:firstLineChars="200" w:firstLine="562"/>
        <w:rPr>
          <w:rFonts w:ascii="楷体_GB2312" w:eastAsia="楷体_GB2312" w:hAnsi="黑体"/>
          <w:sz w:val="28"/>
        </w:rPr>
      </w:pPr>
      <w:r>
        <w:rPr>
          <w:rFonts w:ascii="楷体_GB2312" w:eastAsia="楷体_GB2312" w:hAnsi="黑体" w:hint="eastAsia"/>
          <w:sz w:val="28"/>
        </w:rPr>
        <w:t>四、九大类原材料购进价格“八升一降”</w:t>
      </w:r>
    </w:p>
    <w:p w:rsidR="005B21C6" w:rsidRDefault="005B21C6" w:rsidP="005B21C6">
      <w:pPr>
        <w:widowControl/>
        <w:spacing w:line="360" w:lineRule="auto"/>
        <w:ind w:firstLineChars="200" w:firstLine="560"/>
        <w:rPr>
          <w:rFonts w:ascii="仿宋" w:eastAsia="仿宋" w:hAnsi="仿宋"/>
          <w:bCs/>
          <w:color w:val="000000"/>
          <w:sz w:val="28"/>
        </w:rPr>
      </w:pPr>
      <w:r>
        <w:rPr>
          <w:rFonts w:ascii="仿宋" w:eastAsia="仿宋" w:hAnsi="仿宋"/>
          <w:bCs/>
          <w:color w:val="000000"/>
          <w:sz w:val="28"/>
        </w:rPr>
        <w:t>2021</w:t>
      </w:r>
      <w:r>
        <w:rPr>
          <w:rFonts w:ascii="仿宋" w:eastAsia="仿宋" w:hAnsi="仿宋" w:hint="eastAsia"/>
          <w:bCs/>
          <w:color w:val="000000"/>
          <w:sz w:val="28"/>
        </w:rPr>
        <w:t>年，我市九大类原材料购进价格与上年相比</w:t>
      </w:r>
      <w:r>
        <w:rPr>
          <w:rFonts w:ascii="仿宋" w:eastAsia="仿宋" w:hAnsi="仿宋"/>
          <w:bCs/>
          <w:color w:val="000000"/>
          <w:sz w:val="28"/>
        </w:rPr>
        <w:t>呈</w:t>
      </w:r>
      <w:r>
        <w:rPr>
          <w:rFonts w:ascii="仿宋" w:eastAsia="仿宋" w:hAnsi="仿宋" w:hint="eastAsia"/>
          <w:bCs/>
          <w:color w:val="000000"/>
          <w:sz w:val="28"/>
        </w:rPr>
        <w:t>“八升一降”态势。其中，燃料动力类上涨</w:t>
      </w:r>
      <w:r>
        <w:rPr>
          <w:rFonts w:ascii="仿宋" w:eastAsia="仿宋" w:hAnsi="仿宋"/>
          <w:bCs/>
          <w:color w:val="000000"/>
          <w:sz w:val="28"/>
        </w:rPr>
        <w:t>25.6</w:t>
      </w:r>
      <w:r>
        <w:rPr>
          <w:rFonts w:ascii="仿宋" w:eastAsia="仿宋" w:hAnsi="仿宋" w:hint="eastAsia"/>
          <w:bCs/>
          <w:color w:val="000000"/>
          <w:sz w:val="28"/>
        </w:rPr>
        <w:t>%，黑色金属材料</w:t>
      </w:r>
      <w:r>
        <w:rPr>
          <w:rFonts w:ascii="仿宋" w:eastAsia="仿宋" w:hAnsi="仿宋"/>
          <w:bCs/>
          <w:color w:val="000000"/>
          <w:sz w:val="28"/>
        </w:rPr>
        <w:t>类</w:t>
      </w:r>
      <w:r>
        <w:rPr>
          <w:rFonts w:ascii="仿宋" w:eastAsia="仿宋" w:hAnsi="仿宋" w:hint="eastAsia"/>
          <w:bCs/>
          <w:color w:val="000000"/>
          <w:sz w:val="28"/>
        </w:rPr>
        <w:t>上涨</w:t>
      </w:r>
      <w:r>
        <w:rPr>
          <w:rFonts w:ascii="仿宋" w:eastAsia="仿宋" w:hAnsi="仿宋"/>
          <w:bCs/>
          <w:color w:val="000000"/>
          <w:sz w:val="28"/>
        </w:rPr>
        <w:t>16.2%</w:t>
      </w:r>
      <w:r>
        <w:rPr>
          <w:rFonts w:ascii="仿宋" w:eastAsia="仿宋" w:hAnsi="仿宋" w:hint="eastAsia"/>
          <w:bCs/>
          <w:color w:val="000000"/>
          <w:sz w:val="28"/>
        </w:rPr>
        <w:t>，有色金属材料及电线类上涨</w:t>
      </w:r>
      <w:r>
        <w:rPr>
          <w:rFonts w:ascii="仿宋" w:eastAsia="仿宋" w:hAnsi="仿宋"/>
          <w:bCs/>
          <w:color w:val="000000"/>
          <w:sz w:val="28"/>
        </w:rPr>
        <w:t>16.1</w:t>
      </w:r>
      <w:r>
        <w:rPr>
          <w:rFonts w:ascii="仿宋" w:eastAsia="仿宋" w:hAnsi="仿宋" w:hint="eastAsia"/>
          <w:bCs/>
          <w:color w:val="000000"/>
          <w:sz w:val="28"/>
        </w:rPr>
        <w:t>%（见</w:t>
      </w:r>
      <w:r>
        <w:rPr>
          <w:rFonts w:ascii="仿宋" w:eastAsia="仿宋" w:hAnsi="仿宋"/>
          <w:bCs/>
          <w:color w:val="000000"/>
          <w:sz w:val="28"/>
        </w:rPr>
        <w:t>图2</w:t>
      </w:r>
      <w:r>
        <w:rPr>
          <w:rFonts w:ascii="仿宋" w:eastAsia="仿宋" w:hAnsi="仿宋" w:hint="eastAsia"/>
          <w:bCs/>
          <w:color w:val="000000"/>
          <w:sz w:val="28"/>
        </w:rPr>
        <w:t>）</w:t>
      </w:r>
      <w:r>
        <w:rPr>
          <w:rFonts w:ascii="仿宋" w:eastAsia="仿宋" w:hAnsi="仿宋"/>
          <w:bCs/>
          <w:color w:val="000000"/>
          <w:sz w:val="28"/>
        </w:rPr>
        <w:t>。</w:t>
      </w:r>
    </w:p>
    <w:p w:rsidR="005B21C6" w:rsidRDefault="005B21C6" w:rsidP="005B21C6">
      <w:pPr>
        <w:widowControl/>
        <w:jc w:val="left"/>
        <w:rPr>
          <w:rFonts w:ascii="宋体" w:hAnsi="宋体" w:cs="宋体"/>
          <w:kern w:val="0"/>
          <w:sz w:val="24"/>
        </w:rPr>
      </w:pPr>
      <w:r w:rsidRPr="003A460B"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>
            <wp:extent cx="5105400" cy="3512820"/>
            <wp:effectExtent l="0" t="0" r="0" b="0"/>
            <wp:docPr id="4" name="图片 4" descr="C:\Users\YH\AppData\Roaming\Tencent\Users\960044045\QQ\WinTemp\RichOle\(G3CZH5FB`THE4$64}46$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C:\Users\YH\AppData\Roaming\Tencent\Users\960044045\QQ\WinTemp\RichOle\(G3CZH5FB`THE4$64}46$S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C6" w:rsidRPr="003A460B" w:rsidRDefault="005B21C6" w:rsidP="005B21C6">
      <w:pPr>
        <w:widowControl/>
        <w:spacing w:line="360" w:lineRule="auto"/>
        <w:jc w:val="center"/>
        <w:rPr>
          <w:rFonts w:ascii="宋体" w:hAnsi="宋体" w:cs="宋体"/>
          <w:b/>
          <w:bCs/>
          <w:sz w:val="24"/>
        </w:rPr>
      </w:pPr>
      <w:r w:rsidRPr="003A460B">
        <w:rPr>
          <w:rFonts w:ascii="宋体" w:hAnsi="宋体" w:cs="宋体" w:hint="eastAsia"/>
          <w:b/>
          <w:bCs/>
          <w:sz w:val="24"/>
        </w:rPr>
        <w:t>图</w:t>
      </w:r>
      <w:r w:rsidRPr="003A460B">
        <w:rPr>
          <w:rFonts w:ascii="宋体" w:hAnsi="宋体" w:cs="宋体"/>
          <w:b/>
          <w:bCs/>
          <w:sz w:val="24"/>
        </w:rPr>
        <w:t>2</w:t>
      </w:r>
      <w:r w:rsidRPr="003A460B">
        <w:rPr>
          <w:rFonts w:ascii="宋体" w:hAnsi="宋体" w:cs="宋体" w:hint="eastAsia"/>
          <w:b/>
          <w:bCs/>
          <w:sz w:val="24"/>
        </w:rPr>
        <w:t xml:space="preserve"> </w:t>
      </w:r>
      <w:r w:rsidRPr="003A460B">
        <w:rPr>
          <w:rFonts w:ascii="宋体" w:hAnsi="宋体" w:cs="宋体"/>
          <w:b/>
          <w:bCs/>
          <w:sz w:val="24"/>
        </w:rPr>
        <w:t xml:space="preserve"> 2021</w:t>
      </w:r>
      <w:r w:rsidRPr="003A460B">
        <w:rPr>
          <w:rFonts w:ascii="宋体" w:hAnsi="宋体" w:cs="宋体" w:hint="eastAsia"/>
          <w:b/>
          <w:bCs/>
          <w:sz w:val="24"/>
        </w:rPr>
        <w:t>年我市工业</w:t>
      </w:r>
      <w:r w:rsidRPr="003A460B">
        <w:rPr>
          <w:rFonts w:ascii="宋体" w:hAnsi="宋体" w:cs="宋体"/>
          <w:b/>
          <w:bCs/>
          <w:sz w:val="24"/>
        </w:rPr>
        <w:t>生产者购进价格</w:t>
      </w:r>
      <w:r w:rsidRPr="003A460B">
        <w:rPr>
          <w:rFonts w:ascii="宋体" w:hAnsi="宋体" w:cs="宋体" w:hint="eastAsia"/>
          <w:b/>
          <w:bCs/>
          <w:sz w:val="24"/>
        </w:rPr>
        <w:t>比上年变动幅度</w:t>
      </w:r>
      <w:bookmarkEnd w:id="0"/>
    </w:p>
    <w:p w:rsidR="005B21C6" w:rsidRPr="005B21C6" w:rsidRDefault="005B21C6" w:rsidP="005B21C6">
      <w:pPr>
        <w:rPr>
          <w:rFonts w:hint="eastAsia"/>
        </w:rPr>
      </w:pPr>
      <w:bookmarkStart w:id="1" w:name="_GoBack"/>
      <w:bookmarkEnd w:id="1"/>
    </w:p>
    <w:sectPr w:rsidR="005B21C6" w:rsidRPr="005B21C6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654" w:rsidRDefault="00D30654" w:rsidP="002D09A0">
      <w:r>
        <w:separator/>
      </w:r>
    </w:p>
  </w:endnote>
  <w:endnote w:type="continuationSeparator" w:id="0">
    <w:p w:rsidR="00D30654" w:rsidRDefault="00D30654" w:rsidP="002D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65" w:rsidRDefault="005B21C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7310" cy="153035"/>
              <wp:effectExtent l="0" t="0" r="8890" b="18415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4765" w:rsidRDefault="00D3065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B21C6" w:rsidRPr="005B21C6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-45.9pt;margin-top:0;width:5.3pt;height:12.0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" filled="f" stroked="f">
              <v:textbox style="mso-fit-shape-to-text:t" inset="0,0,0,0">
                <w:txbxContent>
                  <w:p w:rsidR="009D4765" w:rsidRDefault="00D3065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B21C6" w:rsidRPr="005B21C6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654" w:rsidRDefault="00D30654" w:rsidP="002D09A0">
      <w:r>
        <w:separator/>
      </w:r>
    </w:p>
  </w:footnote>
  <w:footnote w:type="continuationSeparator" w:id="0">
    <w:p w:rsidR="00D30654" w:rsidRDefault="00D30654" w:rsidP="002D0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D2"/>
    <w:rsid w:val="000A4E80"/>
    <w:rsid w:val="002D09A0"/>
    <w:rsid w:val="005B21C6"/>
    <w:rsid w:val="006F71E6"/>
    <w:rsid w:val="00D30654"/>
    <w:rsid w:val="00ED6024"/>
    <w:rsid w:val="00FB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02E48-E07A-4BC5-A834-CA2B6975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D09A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1"/>
    <w:uiPriority w:val="9"/>
    <w:qFormat/>
    <w:rsid w:val="002D09A0"/>
    <w:pPr>
      <w:jc w:val="left"/>
      <w:outlineLvl w:val="3"/>
    </w:pPr>
    <w:rPr>
      <w:rFonts w:ascii="Arial" w:hAnsi="Arial" w:cs="Arial"/>
      <w:b/>
      <w:color w:val="333333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9A0"/>
    <w:rPr>
      <w:sz w:val="18"/>
      <w:szCs w:val="18"/>
    </w:rPr>
  </w:style>
  <w:style w:type="paragraph" w:styleId="a4">
    <w:name w:val="footer"/>
    <w:basedOn w:val="a"/>
    <w:link w:val="Char0"/>
    <w:unhideWhenUsed/>
    <w:rsid w:val="002D09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9A0"/>
    <w:rPr>
      <w:sz w:val="18"/>
      <w:szCs w:val="18"/>
    </w:rPr>
  </w:style>
  <w:style w:type="character" w:customStyle="1" w:styleId="1Char">
    <w:name w:val="标题 1 Char"/>
    <w:basedOn w:val="a0"/>
    <w:link w:val="1"/>
    <w:rsid w:val="002D09A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uiPriority w:val="9"/>
    <w:semiHidden/>
    <w:rsid w:val="002D09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1">
    <w:name w:val="标题 4 Char1"/>
    <w:link w:val="4"/>
    <w:uiPriority w:val="9"/>
    <w:rsid w:val="002D09A0"/>
    <w:rPr>
      <w:rFonts w:ascii="Arial" w:eastAsia="宋体" w:hAnsi="Arial" w:cs="Arial"/>
      <w:b/>
      <w:color w:val="333333"/>
      <w:kern w:val="0"/>
      <w:sz w:val="18"/>
      <w:szCs w:val="18"/>
    </w:rPr>
  </w:style>
  <w:style w:type="character" w:customStyle="1" w:styleId="a5">
    <w:name w:val="页脚 字符"/>
    <w:rsid w:val="005B21C6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B21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21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1112</Characters>
  <Application>Microsoft Office Word</Application>
  <DocSecurity>0</DocSecurity>
  <Lines>9</Lines>
  <Paragraphs>2</Paragraphs>
  <ScaleCrop>false</ScaleCrop>
  <Company>国家统计局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2022-01-20T03:17:00Z</dcterms:created>
  <dcterms:modified xsi:type="dcterms:W3CDTF">2022-01-20T06:05:00Z</dcterms:modified>
</cp:coreProperties>
</file>