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A11EE4">
      <w:pPr>
        <w:pStyle w:val="2"/>
        <w:bidi w:val="0"/>
        <w:jc w:val="center"/>
        <w:rPr>
          <w:rFonts w:hint="eastAsia" w:ascii="宋体" w:hAnsi="宋体" w:eastAsia="宋体" w:cs="宋体"/>
          <w:sz w:val="24"/>
          <w:szCs w:val="24"/>
          <w:lang w:eastAsia="zh-CN"/>
        </w:rPr>
      </w:pPr>
      <w:r>
        <w:t>企业电子统计台账V 2.0.</w:t>
      </w:r>
      <w:r>
        <w:rPr>
          <w:rFonts w:hint="eastAsia"/>
          <w:lang w:val="en-US" w:eastAsia="zh-CN"/>
        </w:rPr>
        <w:t>2</w:t>
      </w:r>
      <w:r>
        <w:t>版</w:t>
      </w:r>
      <w:r>
        <w:rPr>
          <w:rFonts w:hint="eastAsia"/>
        </w:rPr>
        <w:t>本升级</w:t>
      </w:r>
      <w:r>
        <w:t>清单</w:t>
      </w:r>
      <w:r>
        <w:rPr>
          <w:rFonts w:hint="eastAsia"/>
          <w:lang w:val="en-US" w:eastAsia="zh-CN"/>
        </w:rPr>
        <w:t xml:space="preserve"> </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更新时间-20250303</w:t>
      </w:r>
      <w:r>
        <w:rPr>
          <w:rFonts w:hint="eastAsia" w:ascii="宋体" w:hAnsi="宋体" w:eastAsia="宋体" w:cs="宋体"/>
          <w:sz w:val="24"/>
          <w:szCs w:val="24"/>
          <w:lang w:eastAsia="zh-CN"/>
        </w:rPr>
        <w:t>）</w:t>
      </w:r>
    </w:p>
    <w:p w14:paraId="549B4EF9">
      <w:pPr>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注：</w:t>
      </w:r>
    </w:p>
    <w:p w14:paraId="35665C7D">
      <w:pPr>
        <w:rPr>
          <w:rFonts w:hint="default"/>
          <w:lang w:val="en-US" w:eastAsia="zh-CN"/>
        </w:rPr>
      </w:pPr>
      <w:r>
        <w:rPr>
          <w:rFonts w:hint="eastAsia" w:ascii="宋体" w:hAnsi="宋体" w:eastAsia="宋体" w:cs="宋体"/>
          <w:sz w:val="24"/>
          <w:szCs w:val="24"/>
          <w:lang w:val="en-US" w:eastAsia="zh-CN"/>
        </w:rPr>
        <w:t>2.0.1升级至2.0.2时，仅会清空2.0.1版本中填报的【</w:t>
      </w:r>
      <w:r>
        <w:rPr>
          <w:rFonts w:hint="eastAsia" w:ascii="宋体" w:hAnsi="宋体" w:eastAsia="宋体" w:cs="宋体"/>
          <w:b/>
          <w:bCs/>
          <w:sz w:val="24"/>
          <w:szCs w:val="24"/>
          <w:lang w:val="en-US" w:eastAsia="zh-CN"/>
        </w:rPr>
        <w:t>2025年财务账页</w:t>
      </w:r>
      <w:r>
        <w:rPr>
          <w:rFonts w:hint="eastAsia" w:ascii="宋体" w:hAnsi="宋体" w:eastAsia="宋体" w:cs="宋体"/>
          <w:sz w:val="24"/>
          <w:szCs w:val="24"/>
          <w:lang w:val="en-US" w:eastAsia="zh-CN"/>
        </w:rPr>
        <w:t>】数据，2024年账页数据均不会清空。升级前请做好数据</w:t>
      </w:r>
      <w:r>
        <w:rPr>
          <w:rFonts w:hint="eastAsia" w:ascii="宋体" w:hAnsi="宋体" w:eastAsia="宋体" w:cs="宋体"/>
          <w:sz w:val="24"/>
          <w:szCs w:val="24"/>
          <w:lang w:val="en-US" w:eastAsia="zh-CN"/>
        </w:rPr>
        <w:t>备份！</w:t>
      </w:r>
    </w:p>
    <w:p w14:paraId="1A5F01EC">
      <w:pPr>
        <w:pStyle w:val="3"/>
        <w:numPr>
          <w:ilvl w:val="0"/>
          <w:numId w:val="1"/>
        </w:numPr>
        <w:bidi w:val="0"/>
      </w:pPr>
      <w:r>
        <w:rPr>
          <w:rFonts w:hint="eastAsia"/>
          <w:lang w:val="en-US" w:eastAsia="zh-CN"/>
        </w:rPr>
        <w:t>账页指标升级</w:t>
      </w:r>
      <w:r>
        <w:t>清单</w:t>
      </w:r>
      <w:bookmarkStart w:id="0" w:name="_GoBack"/>
      <w:bookmarkEnd w:id="0"/>
    </w:p>
    <w:tbl>
      <w:tblPr>
        <w:tblStyle w:val="5"/>
        <w:tblW w:w="139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3285"/>
        <w:gridCol w:w="6990"/>
        <w:gridCol w:w="2955"/>
      </w:tblGrid>
      <w:tr w14:paraId="09C1E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697" w:type="dxa"/>
            <w:shd w:val="clear" w:color="auto" w:fill="DEEBF6" w:themeFill="accent1" w:themeFillTint="32"/>
            <w:vAlign w:val="center"/>
          </w:tcPr>
          <w:p w14:paraId="5AC1AEB9">
            <w:pPr>
              <w:spacing w:line="276" w:lineRule="auto"/>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序号</w:t>
            </w:r>
          </w:p>
        </w:tc>
        <w:tc>
          <w:tcPr>
            <w:tcW w:w="3285" w:type="dxa"/>
            <w:shd w:val="clear" w:color="auto" w:fill="DEEBF6" w:themeFill="accent1" w:themeFillTint="32"/>
            <w:vAlign w:val="center"/>
          </w:tcPr>
          <w:p w14:paraId="2A3163F7">
            <w:pPr>
              <w:spacing w:line="276" w:lineRule="auto"/>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需求</w:t>
            </w:r>
          </w:p>
        </w:tc>
        <w:tc>
          <w:tcPr>
            <w:tcW w:w="6990" w:type="dxa"/>
            <w:shd w:val="clear" w:color="auto" w:fill="DEEBF6" w:themeFill="accent1" w:themeFillTint="32"/>
            <w:vAlign w:val="center"/>
          </w:tcPr>
          <w:p w14:paraId="73489A5A">
            <w:pPr>
              <w:spacing w:line="276" w:lineRule="auto"/>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描述</w:t>
            </w:r>
          </w:p>
        </w:tc>
        <w:tc>
          <w:tcPr>
            <w:tcW w:w="2955" w:type="dxa"/>
            <w:shd w:val="clear" w:color="auto" w:fill="DEEBF6" w:themeFill="accent1" w:themeFillTint="32"/>
            <w:vAlign w:val="center"/>
          </w:tcPr>
          <w:p w14:paraId="47FB50E6">
            <w:pPr>
              <w:spacing w:line="276" w:lineRule="auto"/>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涉及行业</w:t>
            </w:r>
          </w:p>
        </w:tc>
      </w:tr>
      <w:tr w14:paraId="1CDDB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4AB0E69B">
            <w:pPr>
              <w:spacing w:line="276" w:lineRule="auto"/>
              <w:jc w:val="center"/>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3285" w:type="dxa"/>
            <w:vAlign w:val="center"/>
          </w:tcPr>
          <w:p w14:paraId="7EEBDAC4">
            <w:pPr>
              <w:spacing w:line="276" w:lineRule="auto"/>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i w:val="0"/>
                <w:iCs w:val="0"/>
                <w:caps w:val="0"/>
                <w:spacing w:val="0"/>
                <w:sz w:val="21"/>
                <w:szCs w:val="21"/>
                <w:shd w:val="clear" w:color="auto" w:fill="auto"/>
                <w:lang w:val="en-US" w:eastAsia="zh-CN"/>
              </w:rPr>
              <w:t>2025年固定资产投资账页增加汇总指标</w:t>
            </w:r>
          </w:p>
        </w:tc>
        <w:tc>
          <w:tcPr>
            <w:tcW w:w="6990" w:type="dxa"/>
            <w:vAlign w:val="center"/>
          </w:tcPr>
          <w:p w14:paraId="493AD839">
            <w:pPr>
              <w:numPr>
                <w:ilvl w:val="0"/>
                <w:numId w:val="2"/>
              </w:numPr>
              <w:spacing w:line="276" w:lineRule="auto"/>
              <w:ind w:left="420" w:leftChars="0" w:hanging="420" w:firstLineChars="0"/>
              <w:rPr>
                <w:rFonts w:hint="eastAsia" w:ascii="仿宋_GB2312" w:hAnsi="仿宋_GB2312" w:eastAsia="仿宋_GB2312" w:cs="仿宋_GB2312"/>
                <w:b/>
                <w:bCs/>
                <w:i w:val="0"/>
                <w:iCs w:val="0"/>
                <w:caps w:val="0"/>
                <w:spacing w:val="0"/>
                <w:sz w:val="24"/>
                <w:szCs w:val="24"/>
                <w:shd w:val="clear" w:color="auto" w:fill="auto"/>
                <w:lang w:val="en-US" w:eastAsia="zh-CN"/>
              </w:rPr>
            </w:pPr>
            <w:r>
              <w:rPr>
                <w:rFonts w:hint="eastAsia" w:ascii="仿宋_GB2312" w:hAnsi="仿宋_GB2312" w:eastAsia="仿宋_GB2312" w:cs="仿宋_GB2312"/>
                <w:b/>
                <w:bCs/>
                <w:i w:val="0"/>
                <w:iCs w:val="0"/>
                <w:caps w:val="0"/>
                <w:spacing w:val="0"/>
                <w:sz w:val="24"/>
                <w:szCs w:val="24"/>
                <w:shd w:val="clear" w:color="auto" w:fill="auto"/>
                <w:lang w:val="en-US" w:eastAsia="zh-CN"/>
              </w:rPr>
              <w:t>增加指标如下：</w:t>
            </w:r>
          </w:p>
          <w:p w14:paraId="02510345">
            <w:pPr>
              <w:numPr>
                <w:ilvl w:val="0"/>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施工项目个数、其中本年新开工、本年投产项目个数</w:t>
            </w:r>
          </w:p>
        </w:tc>
        <w:tc>
          <w:tcPr>
            <w:tcW w:w="2955" w:type="dxa"/>
            <w:vAlign w:val="center"/>
          </w:tcPr>
          <w:p w14:paraId="142E4B30">
            <w:pPr>
              <w:spacing w:line="276" w:lineRule="auto"/>
              <w:rPr>
                <w:rFonts w:hint="eastAsia" w:ascii="仿宋_GB2312" w:hAnsi="仿宋_GB2312" w:eastAsia="仿宋_GB2312" w:cs="仿宋_GB2312"/>
                <w:szCs w:val="21"/>
              </w:rPr>
            </w:pPr>
            <w:r>
              <w:rPr>
                <w:rFonts w:hint="eastAsia" w:ascii="仿宋_GB2312" w:hAnsi="仿宋_GB2312" w:eastAsia="仿宋_GB2312" w:cs="仿宋_GB2312"/>
                <w:szCs w:val="21"/>
              </w:rPr>
              <w:t>规上工业、资质内建筑业、</w:t>
            </w:r>
            <w:r>
              <w:rPr>
                <w:rFonts w:hint="eastAsia" w:ascii="仿宋_GB2312" w:hAnsi="仿宋_GB2312" w:eastAsia="仿宋_GB2312" w:cs="仿宋_GB2312"/>
                <w:szCs w:val="21"/>
                <w:lang w:val="en-US" w:eastAsia="zh-CN"/>
              </w:rPr>
              <w:t>房地产开发业、</w:t>
            </w:r>
            <w:r>
              <w:rPr>
                <w:rFonts w:hint="eastAsia" w:ascii="仿宋_GB2312" w:hAnsi="仿宋_GB2312" w:eastAsia="仿宋_GB2312" w:cs="仿宋_GB2312"/>
                <w:szCs w:val="21"/>
              </w:rPr>
              <w:t>限额以上批发和零售、限额以上住宿和餐饮、规上服务业</w:t>
            </w:r>
          </w:p>
        </w:tc>
      </w:tr>
      <w:tr w14:paraId="44CED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697" w:type="dxa"/>
            <w:vAlign w:val="center"/>
          </w:tcPr>
          <w:p w14:paraId="3EEBCC46">
            <w:pPr>
              <w:spacing w:line="276" w:lineRule="auto"/>
              <w:jc w:val="center"/>
              <w:rPr>
                <w:rFonts w:hint="eastAsia" w:ascii="仿宋_GB2312" w:hAnsi="仿宋_GB2312" w:eastAsia="仿宋_GB2312" w:cs="仿宋_GB2312"/>
                <w:szCs w:val="21"/>
              </w:rPr>
            </w:pPr>
            <w:r>
              <w:rPr>
                <w:rFonts w:hint="eastAsia" w:ascii="仿宋_GB2312" w:hAnsi="仿宋_GB2312" w:eastAsia="仿宋_GB2312" w:cs="仿宋_GB2312"/>
                <w:szCs w:val="21"/>
              </w:rPr>
              <w:t>2</w:t>
            </w:r>
          </w:p>
        </w:tc>
        <w:tc>
          <w:tcPr>
            <w:tcW w:w="3285" w:type="dxa"/>
            <w:shd w:val="clear" w:color="auto" w:fill="auto"/>
            <w:vAlign w:val="center"/>
          </w:tcPr>
          <w:p w14:paraId="577EE439">
            <w:pPr>
              <w:spacing w:line="276" w:lineRule="auto"/>
              <w:rPr>
                <w:rFonts w:hint="eastAsia" w:ascii="仿宋_GB2312" w:hAnsi="仿宋_GB2312" w:eastAsia="仿宋_GB2312" w:cs="仿宋_GB2312"/>
                <w:kern w:val="2"/>
                <w:sz w:val="21"/>
                <w:szCs w:val="21"/>
                <w:shd w:val="clear" w:color="auto" w:fill="auto"/>
                <w:lang w:val="en-US" w:eastAsia="zh-CN" w:bidi="ar-SA"/>
              </w:rPr>
            </w:pPr>
            <w:r>
              <w:rPr>
                <w:rFonts w:hint="eastAsia" w:ascii="仿宋_GB2312" w:hAnsi="仿宋_GB2312" w:eastAsia="仿宋_GB2312" w:cs="仿宋_GB2312"/>
                <w:i w:val="0"/>
                <w:iCs w:val="0"/>
                <w:caps w:val="0"/>
                <w:spacing w:val="0"/>
                <w:sz w:val="21"/>
                <w:szCs w:val="21"/>
                <w:shd w:val="clear" w:color="auto" w:fill="auto"/>
                <w:lang w:val="en-US" w:eastAsia="zh-CN"/>
              </w:rPr>
              <w:t>更新2025年生产销售账页-产品基本信息表的产品产量目录、战新目录</w:t>
            </w:r>
          </w:p>
        </w:tc>
        <w:tc>
          <w:tcPr>
            <w:tcW w:w="6990" w:type="dxa"/>
            <w:vAlign w:val="center"/>
          </w:tcPr>
          <w:p w14:paraId="3AE5F649">
            <w:pPr>
              <w:numPr>
                <w:ilvl w:val="0"/>
                <w:numId w:val="2"/>
              </w:numPr>
              <w:spacing w:line="276" w:lineRule="auto"/>
              <w:ind w:left="420" w:leftChars="0" w:hanging="420" w:firstLineChars="0"/>
              <w:rPr>
                <w:rFonts w:hint="eastAsia" w:ascii="仿宋_GB2312" w:hAnsi="仿宋_GB2312" w:eastAsia="仿宋_GB2312" w:cs="仿宋_GB2312"/>
                <w:b/>
                <w:bCs/>
                <w:i w:val="0"/>
                <w:iCs w:val="0"/>
                <w:caps w:val="0"/>
                <w:spacing w:val="0"/>
                <w:sz w:val="24"/>
                <w:szCs w:val="24"/>
                <w:shd w:val="clear" w:color="auto" w:fill="auto"/>
                <w:lang w:val="en-US" w:eastAsia="zh-CN"/>
              </w:rPr>
            </w:pPr>
            <w:r>
              <w:rPr>
                <w:rFonts w:hint="eastAsia" w:ascii="仿宋_GB2312" w:hAnsi="仿宋_GB2312" w:eastAsia="仿宋_GB2312" w:cs="仿宋_GB2312"/>
                <w:b/>
                <w:bCs/>
                <w:i w:val="0"/>
                <w:iCs w:val="0"/>
                <w:caps w:val="0"/>
                <w:spacing w:val="0"/>
                <w:sz w:val="24"/>
                <w:szCs w:val="24"/>
                <w:shd w:val="clear" w:color="auto" w:fill="auto"/>
                <w:lang w:val="en-US" w:eastAsia="zh-CN"/>
              </w:rPr>
              <w:t>根据最新制度对产品目录、战新产品目录进行更新：</w:t>
            </w:r>
          </w:p>
          <w:p w14:paraId="68674D9F">
            <w:pPr>
              <w:numPr>
                <w:ilvl w:val="0"/>
                <w:numId w:val="0"/>
              </w:numPr>
              <w:spacing w:line="276" w:lineRule="auto"/>
              <w:ind w:leftChars="0"/>
              <w:rPr>
                <w:rFonts w:hint="eastAsia" w:ascii="仿宋_GB2312" w:hAnsi="仿宋_GB2312" w:eastAsia="仿宋_GB2312" w:cs="仿宋_GB2312"/>
                <w:b/>
                <w:bCs/>
                <w:i w:val="0"/>
                <w:iCs w:val="0"/>
                <w:caps w:val="0"/>
                <w:spacing w:val="0"/>
                <w:sz w:val="24"/>
                <w:szCs w:val="24"/>
                <w:shd w:val="clear" w:color="auto" w:fill="auto"/>
                <w:lang w:val="en-US" w:eastAsia="zh-CN"/>
              </w:rPr>
            </w:pPr>
            <w:r>
              <w:rPr>
                <w:rFonts w:hint="eastAsia" w:ascii="仿宋_GB2312" w:hAnsi="仿宋_GB2312" w:eastAsia="仿宋_GB2312" w:cs="仿宋_GB2312"/>
                <w:b/>
                <w:bCs/>
                <w:i w:val="0"/>
                <w:iCs w:val="0"/>
                <w:caps w:val="0"/>
                <w:color w:val="FF0000"/>
                <w:spacing w:val="0"/>
                <w:sz w:val="21"/>
                <w:szCs w:val="21"/>
                <w:shd w:val="clear" w:color="auto" w:fill="auto"/>
                <w:lang w:val="en-US" w:eastAsia="zh-CN"/>
              </w:rPr>
              <w:t>注：涉及填报以下新增产品的企业在升级程序后，建议导出历史填报数据，再点击【重置账页】更新为最新的账页表单，不涉及以下新增产品的则不需要重置账页。</w:t>
            </w:r>
          </w:p>
          <w:tbl>
            <w:tblPr>
              <w:tblStyle w:val="5"/>
              <w:tblW w:w="67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4"/>
            </w:tblGrid>
            <w:tr w14:paraId="626D3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2318A7F7">
                  <w:pPr>
                    <w:numPr>
                      <w:ilvl w:val="0"/>
                      <w:numId w:val="0"/>
                    </w:numPr>
                    <w:spacing w:line="240" w:lineRule="auto"/>
                    <w:ind w:leftChars="0"/>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b/>
                      <w:bCs/>
                      <w:szCs w:val="21"/>
                      <w:shd w:val="clear" w:color="auto" w:fill="auto"/>
                      <w:lang w:val="en-US" w:eastAsia="zh-CN"/>
                    </w:rPr>
                    <w:t>①工业产品产量目录删除了：</w:t>
                  </w:r>
                </w:p>
              </w:tc>
            </w:tr>
            <w:tr w14:paraId="6790E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2F359B7A">
                  <w:pPr>
                    <w:numPr>
                      <w:ilvl w:val="0"/>
                      <w:numId w:val="0"/>
                    </w:numPr>
                    <w:spacing w:line="240"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1721010毛条、1721030毛纱</w:t>
                  </w:r>
                </w:p>
              </w:tc>
            </w:tr>
            <w:tr w14:paraId="3CF4E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5A40A22B">
                  <w:pPr>
                    <w:numPr>
                      <w:ilvl w:val="0"/>
                      <w:numId w:val="0"/>
                    </w:numPr>
                    <w:spacing w:line="240"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3752060◇船舶用发动机</w:t>
                  </w:r>
                </w:p>
              </w:tc>
            </w:tr>
            <w:tr w14:paraId="187C5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762ECA03">
                  <w:pPr>
                    <w:numPr>
                      <w:ilvl w:val="0"/>
                      <w:numId w:val="0"/>
                    </w:numPr>
                    <w:spacing w:line="240"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3472020其中：◇幻灯机、3472030◇投影仪</w:t>
                  </w:r>
                </w:p>
              </w:tc>
            </w:tr>
            <w:tr w14:paraId="2EE51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17529F16">
                  <w:pPr>
                    <w:numPr>
                      <w:ilvl w:val="0"/>
                      <w:numId w:val="0"/>
                    </w:numPr>
                    <w:spacing w:line="240"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3731901其中：◇起重船、3731902◇铺管船、3731903◇调查船</w:t>
                  </w:r>
                </w:p>
              </w:tc>
            </w:tr>
            <w:tr w14:paraId="5F3CC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06D9EB93">
                  <w:pPr>
                    <w:numPr>
                      <w:ilvl w:val="0"/>
                      <w:numId w:val="0"/>
                    </w:numPr>
                    <w:spacing w:line="240"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3951020其中：◇显像管彩色（CRT）电视机</w:t>
                  </w:r>
                </w:p>
              </w:tc>
            </w:tr>
            <w:tr w14:paraId="27003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41A45FB1">
                  <w:pPr>
                    <w:numPr>
                      <w:ilvl w:val="0"/>
                      <w:numId w:val="0"/>
                    </w:numPr>
                    <w:spacing w:line="240" w:lineRule="auto"/>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3971730彩色显像管</w:t>
                  </w:r>
                </w:p>
              </w:tc>
            </w:tr>
            <w:tr w14:paraId="2AFF9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409A76A0">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b/>
                      <w:bCs/>
                      <w:szCs w:val="21"/>
                      <w:shd w:val="clear" w:color="auto" w:fill="auto"/>
                      <w:lang w:val="en-US" w:eastAsia="zh-CN"/>
                    </w:rPr>
                    <w:t>②工业产品产量目录新增了：</w:t>
                  </w:r>
                </w:p>
              </w:tc>
            </w:tr>
            <w:tr w14:paraId="41421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6C03B230">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2613060碳酸锂*</w:t>
                  </w:r>
                </w:p>
              </w:tc>
            </w:tr>
            <w:tr w14:paraId="209FF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24F5847A">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2661029其中：◇稀土催化材料</w:t>
                  </w:r>
                </w:p>
              </w:tc>
            </w:tr>
            <w:tr w14:paraId="5BDE0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74" w:type="dxa"/>
                </w:tcPr>
                <w:p w14:paraId="7C53F3B9">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2683010牙膏（折65克标准支）</w:t>
                  </w:r>
                </w:p>
              </w:tc>
            </w:tr>
            <w:tr w14:paraId="04174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6774" w:type="dxa"/>
                </w:tcPr>
                <w:p w14:paraId="2FF0FB69">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2684030香精</w:t>
                  </w:r>
                </w:p>
              </w:tc>
            </w:tr>
            <w:tr w14:paraId="38708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6774" w:type="dxa"/>
                </w:tcPr>
                <w:p w14:paraId="3BE2C754">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3240901金属基复合材料及制品</w:t>
                  </w:r>
                </w:p>
              </w:tc>
            </w:tr>
            <w:tr w14:paraId="7AF03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6774" w:type="dxa"/>
                </w:tcPr>
                <w:p w14:paraId="7FD039AA">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3412060◇船舶用发动机、3412049其中：新能源汽车发动机</w:t>
                  </w:r>
                </w:p>
              </w:tc>
            </w:tr>
            <w:tr w14:paraId="6E600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6774" w:type="dxa"/>
                </w:tcPr>
                <w:p w14:paraId="776C9679">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3841080 △储能用锂离子电池*</w:t>
                  </w:r>
                </w:p>
              </w:tc>
            </w:tr>
            <w:tr w14:paraId="30E46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6774" w:type="dxa"/>
                </w:tcPr>
                <w:p w14:paraId="7D0EF1D7">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3610230◆半挂牵引车*、3610240◆汽车底盘*</w:t>
                  </w:r>
                </w:p>
              </w:tc>
            </w:tr>
            <w:tr w14:paraId="2AC42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6774" w:type="dxa"/>
                </w:tcPr>
                <w:p w14:paraId="7C96B4F9">
                  <w:pPr>
                    <w:numPr>
                      <w:ilvl w:val="0"/>
                      <w:numId w:val="0"/>
                    </w:numPr>
                    <w:spacing w:line="240" w:lineRule="auto"/>
                    <w:rPr>
                      <w:rFonts w:hint="eastAsia" w:ascii="仿宋_GB2312" w:hAnsi="仿宋_GB2312" w:eastAsia="仿宋_GB2312" w:cs="仿宋_GB2312"/>
                      <w:szCs w:val="21"/>
                      <w:shd w:val="clear" w:color="auto" w:fill="auto"/>
                      <w:vertAlign w:val="baseline"/>
                      <w:lang w:val="en-US" w:eastAsia="zh-CN"/>
                    </w:rPr>
                  </w:pPr>
                  <w:r>
                    <w:rPr>
                      <w:rFonts w:hint="eastAsia" w:ascii="仿宋_GB2312" w:hAnsi="仿宋_GB2312" w:eastAsia="仿宋_GB2312" w:cs="仿宋_GB2312"/>
                      <w:szCs w:val="21"/>
                      <w:shd w:val="clear" w:color="auto" w:fill="auto"/>
                      <w:vertAlign w:val="baseline"/>
                      <w:lang w:val="en-US" w:eastAsia="zh-CN"/>
                    </w:rPr>
                    <w:t>3731011民用钢质船舶</w:t>
                  </w:r>
                </w:p>
              </w:tc>
            </w:tr>
          </w:tbl>
          <w:p w14:paraId="2047C984">
            <w:pPr>
              <w:numPr>
                <w:ilvl w:val="0"/>
                <w:numId w:val="0"/>
              </w:numPr>
              <w:spacing w:line="240" w:lineRule="auto"/>
              <w:ind w:leftChars="0"/>
              <w:rPr>
                <w:rFonts w:hint="eastAsia" w:ascii="仿宋_GB2312" w:hAnsi="仿宋_GB2312" w:eastAsia="仿宋_GB2312" w:cs="仿宋_GB2312"/>
                <w:szCs w:val="21"/>
                <w:shd w:val="clear" w:color="auto" w:fill="auto"/>
                <w:lang w:val="en-US" w:eastAsia="zh-CN"/>
              </w:rPr>
            </w:pPr>
          </w:p>
        </w:tc>
        <w:tc>
          <w:tcPr>
            <w:tcW w:w="2955" w:type="dxa"/>
            <w:vAlign w:val="center"/>
          </w:tcPr>
          <w:p w14:paraId="3BD805FB">
            <w:pPr>
              <w:spacing w:line="276" w:lineRule="auto"/>
              <w:rPr>
                <w:rFonts w:hint="eastAsia" w:ascii="仿宋_GB2312" w:hAnsi="仿宋_GB2312" w:eastAsia="仿宋_GB2312" w:cs="仿宋_GB2312"/>
                <w:szCs w:val="21"/>
              </w:rPr>
            </w:pPr>
            <w:r>
              <w:rPr>
                <w:rFonts w:hint="eastAsia" w:ascii="仿宋_GB2312" w:hAnsi="仿宋_GB2312" w:eastAsia="仿宋_GB2312" w:cs="仿宋_GB2312"/>
                <w:szCs w:val="21"/>
              </w:rPr>
              <w:t>规上工业</w:t>
            </w:r>
          </w:p>
        </w:tc>
      </w:tr>
      <w:tr w14:paraId="6CA3C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trPr>
        <w:tc>
          <w:tcPr>
            <w:tcW w:w="697" w:type="dxa"/>
            <w:vAlign w:val="center"/>
          </w:tcPr>
          <w:p w14:paraId="03FCC3C2">
            <w:pPr>
              <w:spacing w:line="276" w:lineRule="auto"/>
              <w:jc w:val="center"/>
              <w:rPr>
                <w:rFonts w:hint="eastAsia" w:ascii="仿宋_GB2312" w:hAnsi="仿宋_GB2312" w:eastAsia="仿宋_GB2312" w:cs="仿宋_GB2312"/>
                <w:szCs w:val="21"/>
              </w:rPr>
            </w:pPr>
            <w:r>
              <w:rPr>
                <w:rFonts w:hint="eastAsia" w:ascii="仿宋_GB2312" w:hAnsi="仿宋_GB2312" w:eastAsia="仿宋_GB2312" w:cs="仿宋_GB2312"/>
                <w:szCs w:val="21"/>
              </w:rPr>
              <w:t>3</w:t>
            </w:r>
          </w:p>
        </w:tc>
        <w:tc>
          <w:tcPr>
            <w:tcW w:w="3285" w:type="dxa"/>
            <w:vAlign w:val="center"/>
          </w:tcPr>
          <w:p w14:paraId="5A2CE292">
            <w:pPr>
              <w:spacing w:line="276" w:lineRule="auto"/>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2025年非工业能源消费账页、汇总表更新指标</w:t>
            </w:r>
          </w:p>
        </w:tc>
        <w:tc>
          <w:tcPr>
            <w:tcW w:w="6990" w:type="dxa"/>
            <w:vAlign w:val="center"/>
          </w:tcPr>
          <w:p w14:paraId="4942AE06">
            <w:pPr>
              <w:numPr>
                <w:ilvl w:val="0"/>
                <w:numId w:val="0"/>
              </w:numPr>
              <w:spacing w:line="276" w:lineRule="auto"/>
              <w:ind w:leftChars="0"/>
              <w:rPr>
                <w:rFonts w:hint="eastAsia" w:ascii="仿宋_GB2312" w:hAnsi="仿宋_GB2312" w:eastAsia="仿宋_GB2312" w:cs="仿宋_GB2312"/>
                <w:b/>
                <w:bCs/>
                <w:i w:val="0"/>
                <w:iCs w:val="0"/>
                <w:caps w:val="0"/>
                <w:spacing w:val="0"/>
                <w:sz w:val="24"/>
                <w:szCs w:val="24"/>
                <w:shd w:val="clear" w:color="auto" w:fill="auto"/>
                <w:lang w:val="en-US" w:eastAsia="zh-CN"/>
              </w:rPr>
            </w:pPr>
            <w:r>
              <w:rPr>
                <w:rFonts w:hint="eastAsia" w:ascii="仿宋_GB2312" w:hAnsi="仿宋_GB2312" w:eastAsia="仿宋_GB2312" w:cs="仿宋_GB2312"/>
                <w:b/>
                <w:bCs/>
                <w:i w:val="0"/>
                <w:iCs w:val="0"/>
                <w:caps w:val="0"/>
                <w:spacing w:val="0"/>
                <w:sz w:val="24"/>
                <w:szCs w:val="24"/>
                <w:shd w:val="clear" w:color="auto" w:fill="auto"/>
                <w:lang w:val="en-US" w:eastAsia="zh-CN"/>
              </w:rPr>
              <w:t>对非工业能源消费账页、汇总表的部分指标进行更新：</w:t>
            </w:r>
          </w:p>
          <w:p w14:paraId="6CD63357">
            <w:pPr>
              <w:numPr>
                <w:ilvl w:val="0"/>
                <w:numId w:val="3"/>
              </w:numPr>
              <w:spacing w:line="276" w:lineRule="auto"/>
              <w:ind w:left="420" w:leftChars="0" w:hanging="420" w:firstLine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删除“建筑面积”、“外省市建筑面积”、“电信业务总量”有关指标填报、汇总</w:t>
            </w:r>
          </w:p>
          <w:p w14:paraId="515F04EB">
            <w:pPr>
              <w:numPr>
                <w:ilvl w:val="0"/>
                <w:numId w:val="3"/>
              </w:numPr>
              <w:spacing w:line="276" w:lineRule="auto"/>
              <w:ind w:left="420" w:leftChars="0" w:hanging="420" w:firstLine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期末车辆使用数代码更新为“60”</w:t>
            </w:r>
          </w:p>
          <w:p w14:paraId="4B9FE7FE">
            <w:pPr>
              <w:numPr>
                <w:ilvl w:val="0"/>
                <w:numId w:val="3"/>
              </w:numPr>
              <w:spacing w:line="276" w:lineRule="auto"/>
              <w:ind w:left="420" w:leftChars="0" w:hanging="420" w:firstLine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增加指标“其中汽柴油车使用量”</w:t>
            </w:r>
          </w:p>
          <w:p w14:paraId="23CE36A8">
            <w:pPr>
              <w:numPr>
                <w:ilvl w:val="0"/>
                <w:numId w:val="3"/>
              </w:numPr>
              <w:spacing w:line="276" w:lineRule="auto"/>
              <w:ind w:left="420" w:leftChars="0" w:hanging="420" w:firstLine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更新汇总表指标名称为：“运营里程（限城市公共交通运输企业填报）”</w:t>
            </w:r>
          </w:p>
        </w:tc>
        <w:tc>
          <w:tcPr>
            <w:tcW w:w="2955" w:type="dxa"/>
            <w:shd w:val="clear" w:color="auto" w:fill="auto"/>
            <w:vAlign w:val="center"/>
          </w:tcPr>
          <w:p w14:paraId="7ADF8954">
            <w:pPr>
              <w:spacing w:line="240" w:lineRule="auto"/>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Cs w:val="21"/>
              </w:rPr>
              <w:t>资质内建筑业、</w:t>
            </w:r>
            <w:r>
              <w:rPr>
                <w:rFonts w:hint="eastAsia" w:ascii="仿宋_GB2312" w:hAnsi="仿宋_GB2312" w:eastAsia="仿宋_GB2312" w:cs="仿宋_GB2312"/>
                <w:szCs w:val="21"/>
                <w:lang w:val="en-US" w:eastAsia="zh-CN"/>
              </w:rPr>
              <w:t>房地产开发业、</w:t>
            </w:r>
            <w:r>
              <w:rPr>
                <w:rFonts w:hint="eastAsia" w:ascii="仿宋_GB2312" w:hAnsi="仿宋_GB2312" w:eastAsia="仿宋_GB2312" w:cs="仿宋_GB2312"/>
                <w:szCs w:val="21"/>
              </w:rPr>
              <w:t>限额以上批发和零售、限额以上住宿和餐饮、规上服务业</w:t>
            </w:r>
          </w:p>
        </w:tc>
      </w:tr>
      <w:tr w14:paraId="768BE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206C786D">
            <w:pPr>
              <w:spacing w:line="276" w:lineRule="auto"/>
              <w:jc w:val="center"/>
              <w:rPr>
                <w:rFonts w:hint="eastAsia" w:ascii="仿宋_GB2312" w:hAnsi="仿宋_GB2312" w:eastAsia="仿宋_GB2312" w:cs="仿宋_GB2312"/>
                <w:szCs w:val="21"/>
              </w:rPr>
            </w:pPr>
            <w:r>
              <w:rPr>
                <w:rFonts w:hint="eastAsia" w:ascii="仿宋_GB2312" w:hAnsi="仿宋_GB2312" w:eastAsia="仿宋_GB2312" w:cs="仿宋_GB2312"/>
                <w:szCs w:val="21"/>
              </w:rPr>
              <w:t>4</w:t>
            </w:r>
          </w:p>
        </w:tc>
        <w:tc>
          <w:tcPr>
            <w:tcW w:w="3285" w:type="dxa"/>
            <w:shd w:val="clear" w:color="auto" w:fill="auto"/>
            <w:vAlign w:val="center"/>
          </w:tcPr>
          <w:p w14:paraId="6BF6C1B6">
            <w:pPr>
              <w:spacing w:line="276" w:lineRule="auto"/>
              <w:rPr>
                <w:rFonts w:hint="eastAsia" w:ascii="仿宋_GB2312" w:hAnsi="仿宋_GB2312" w:eastAsia="仿宋_GB2312" w:cs="仿宋_GB2312"/>
                <w:szCs w:val="21"/>
                <w:shd w:val="clear" w:color="auto" w:fill="auto"/>
                <w:lang w:val="en-US"/>
              </w:rPr>
            </w:pPr>
            <w:r>
              <w:rPr>
                <w:rFonts w:hint="eastAsia" w:ascii="仿宋_GB2312" w:hAnsi="仿宋_GB2312" w:eastAsia="仿宋_GB2312" w:cs="仿宋_GB2312"/>
                <w:szCs w:val="21"/>
                <w:shd w:val="clear" w:color="auto" w:fill="auto"/>
                <w:lang w:val="en-US" w:eastAsia="zh-CN"/>
              </w:rPr>
              <w:t>2025年非工业企业能源消费基本信息账页更新部分标准单位折标煤系数</w:t>
            </w:r>
          </w:p>
        </w:tc>
        <w:tc>
          <w:tcPr>
            <w:tcW w:w="6990" w:type="dxa"/>
            <w:shd w:val="clear" w:color="auto" w:fill="auto"/>
            <w:vAlign w:val="center"/>
          </w:tcPr>
          <w:p w14:paraId="09D3B4BD">
            <w:pPr>
              <w:numPr>
                <w:ilvl w:val="0"/>
                <w:numId w:val="3"/>
              </w:numPr>
              <w:spacing w:line="276" w:lineRule="auto"/>
              <w:ind w:left="420" w:leftChars="0" w:hanging="420" w:firstLineChars="0"/>
              <w:rPr>
                <w:rFonts w:hint="eastAsia" w:ascii="仿宋_GB2312" w:hAnsi="仿宋_GB2312" w:eastAsia="仿宋_GB2312" w:cs="仿宋_GB2312"/>
                <w:szCs w:val="21"/>
                <w:shd w:val="clear" w:color="auto" w:fill="auto"/>
              </w:rPr>
            </w:pPr>
            <w:r>
              <w:rPr>
                <w:rFonts w:hint="eastAsia" w:ascii="仿宋_GB2312" w:hAnsi="仿宋_GB2312" w:eastAsia="仿宋_GB2312" w:cs="仿宋_GB2312"/>
                <w:szCs w:val="21"/>
                <w:shd w:val="clear" w:color="auto" w:fill="auto"/>
                <w:lang w:val="en-US" w:eastAsia="zh-CN"/>
              </w:rPr>
              <w:t>更新“天然气（气态）”、“天然气（液态）”标准单位折标煤系数：0.001330000</w:t>
            </w:r>
          </w:p>
        </w:tc>
        <w:tc>
          <w:tcPr>
            <w:tcW w:w="2955" w:type="dxa"/>
            <w:shd w:val="clear" w:color="auto" w:fill="auto"/>
            <w:vAlign w:val="center"/>
          </w:tcPr>
          <w:p w14:paraId="1F4BCD96">
            <w:pPr>
              <w:spacing w:line="276" w:lineRule="auto"/>
              <w:rPr>
                <w:rFonts w:hint="eastAsia" w:ascii="仿宋_GB2312" w:hAnsi="仿宋_GB2312" w:eastAsia="仿宋_GB2312" w:cs="仿宋_GB2312"/>
                <w:szCs w:val="21"/>
              </w:rPr>
            </w:pPr>
            <w:r>
              <w:rPr>
                <w:rFonts w:hint="eastAsia" w:ascii="仿宋_GB2312" w:hAnsi="仿宋_GB2312" w:eastAsia="仿宋_GB2312" w:cs="仿宋_GB2312"/>
                <w:szCs w:val="21"/>
              </w:rPr>
              <w:t>资质内建筑业、</w:t>
            </w:r>
            <w:r>
              <w:rPr>
                <w:rFonts w:hint="eastAsia" w:ascii="仿宋_GB2312" w:hAnsi="仿宋_GB2312" w:eastAsia="仿宋_GB2312" w:cs="仿宋_GB2312"/>
                <w:szCs w:val="21"/>
                <w:lang w:val="en-US" w:eastAsia="zh-CN"/>
              </w:rPr>
              <w:t>房地产开发业、</w:t>
            </w:r>
            <w:r>
              <w:rPr>
                <w:rFonts w:hint="eastAsia" w:ascii="仿宋_GB2312" w:hAnsi="仿宋_GB2312" w:eastAsia="仿宋_GB2312" w:cs="仿宋_GB2312"/>
                <w:szCs w:val="21"/>
              </w:rPr>
              <w:t>限额以上批发和零售、限额以上住宿和餐饮、规上服务业</w:t>
            </w:r>
          </w:p>
        </w:tc>
      </w:tr>
      <w:tr w14:paraId="04044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697" w:type="dxa"/>
            <w:vAlign w:val="center"/>
          </w:tcPr>
          <w:p w14:paraId="0EEA6133">
            <w:pPr>
              <w:spacing w:line="276" w:lineRule="auto"/>
              <w:jc w:val="center"/>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5</w:t>
            </w:r>
          </w:p>
        </w:tc>
        <w:tc>
          <w:tcPr>
            <w:tcW w:w="3285" w:type="dxa"/>
            <w:shd w:val="clear" w:color="auto" w:fill="auto"/>
            <w:vAlign w:val="center"/>
          </w:tcPr>
          <w:p w14:paraId="2D6EF23F">
            <w:pPr>
              <w:spacing w:line="276" w:lineRule="auto"/>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2025年更新财务账页的指标、提示校验</w:t>
            </w:r>
          </w:p>
        </w:tc>
        <w:tc>
          <w:tcPr>
            <w:tcW w:w="6990" w:type="dxa"/>
            <w:shd w:val="clear" w:color="auto" w:fill="auto"/>
            <w:vAlign w:val="center"/>
          </w:tcPr>
          <w:p w14:paraId="7E2D5996">
            <w:pPr>
              <w:numPr>
                <w:ilvl w:val="0"/>
                <w:numId w:val="3"/>
              </w:numPr>
              <w:spacing w:line="276" w:lineRule="auto"/>
              <w:ind w:left="420" w:leftChars="0" w:hanging="420" w:firstLine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根据不同行业财务账页填报标准，对填报指标、审核校验进行更新</w:t>
            </w:r>
          </w:p>
        </w:tc>
        <w:tc>
          <w:tcPr>
            <w:tcW w:w="2955" w:type="dxa"/>
            <w:shd w:val="clear" w:color="auto" w:fill="auto"/>
            <w:vAlign w:val="center"/>
          </w:tcPr>
          <w:p w14:paraId="6522B147">
            <w:pPr>
              <w:spacing w:line="276" w:lineRule="auto"/>
              <w:rPr>
                <w:rFonts w:hint="eastAsia" w:ascii="仿宋_GB2312" w:hAnsi="仿宋_GB2312" w:eastAsia="仿宋_GB2312" w:cs="仿宋_GB2312"/>
                <w:szCs w:val="21"/>
              </w:rPr>
            </w:pPr>
            <w:r>
              <w:rPr>
                <w:rFonts w:hint="eastAsia" w:ascii="仿宋_GB2312" w:hAnsi="仿宋_GB2312" w:eastAsia="仿宋_GB2312" w:cs="仿宋_GB2312"/>
                <w:szCs w:val="21"/>
              </w:rPr>
              <w:t>规上工业、资质内建筑业、</w:t>
            </w:r>
            <w:r>
              <w:rPr>
                <w:rFonts w:hint="eastAsia" w:ascii="仿宋_GB2312" w:hAnsi="仿宋_GB2312" w:eastAsia="仿宋_GB2312" w:cs="仿宋_GB2312"/>
                <w:szCs w:val="21"/>
                <w:lang w:val="en-US" w:eastAsia="zh-CN"/>
              </w:rPr>
              <w:t>房地产开发业、</w:t>
            </w:r>
            <w:r>
              <w:rPr>
                <w:rFonts w:hint="eastAsia" w:ascii="仿宋_GB2312" w:hAnsi="仿宋_GB2312" w:eastAsia="仿宋_GB2312" w:cs="仿宋_GB2312"/>
                <w:szCs w:val="21"/>
              </w:rPr>
              <w:t>限额以上批发和零售、限额以上住宿和餐饮、规上服务业</w:t>
            </w:r>
          </w:p>
        </w:tc>
      </w:tr>
      <w:tr w14:paraId="0C221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697" w:type="dxa"/>
            <w:vAlign w:val="center"/>
          </w:tcPr>
          <w:p w14:paraId="161DDDB6">
            <w:pPr>
              <w:spacing w:line="276" w:lineRule="auto"/>
              <w:jc w:val="center"/>
              <w:rPr>
                <w:rFonts w:hint="default" w:ascii="仿宋_GB2312" w:hAnsi="仿宋_GB2312" w:eastAsia="仿宋_GB2312" w:cs="仿宋_GB2312"/>
                <w:szCs w:val="21"/>
                <w:lang w:val="en-US" w:eastAsia="zh-CN"/>
              </w:rPr>
            </w:pPr>
            <w:r>
              <w:rPr>
                <w:rFonts w:hint="eastAsia" w:ascii="仿宋_GB2312" w:hAnsi="仿宋_GB2312" w:eastAsia="仿宋_GB2312" w:cs="仿宋_GB2312"/>
                <w:szCs w:val="21"/>
                <w:lang w:val="en-US" w:eastAsia="zh-CN"/>
              </w:rPr>
              <w:t>6</w:t>
            </w:r>
          </w:p>
        </w:tc>
        <w:tc>
          <w:tcPr>
            <w:tcW w:w="3285" w:type="dxa"/>
            <w:shd w:val="clear" w:color="auto" w:fill="auto"/>
            <w:vAlign w:val="center"/>
          </w:tcPr>
          <w:p w14:paraId="6413B562">
            <w:pPr>
              <w:spacing w:line="276" w:lineRule="auto"/>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支持一键生成联网直报表样的年报清单</w:t>
            </w:r>
          </w:p>
        </w:tc>
        <w:tc>
          <w:tcPr>
            <w:tcW w:w="6990" w:type="dxa"/>
            <w:shd w:val="clear" w:color="auto" w:fill="auto"/>
            <w:vAlign w:val="center"/>
          </w:tcPr>
          <w:p w14:paraId="039FC442">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b/>
                <w:bCs/>
                <w:i w:val="0"/>
                <w:iCs w:val="0"/>
                <w:caps w:val="0"/>
                <w:spacing w:val="0"/>
                <w:sz w:val="24"/>
                <w:szCs w:val="24"/>
                <w:shd w:val="clear" w:color="auto" w:fill="auto"/>
                <w:lang w:val="en-US" w:eastAsia="zh-CN"/>
              </w:rPr>
              <w:t>可生成汇总表导入至联网直报</w:t>
            </w:r>
            <w:r>
              <w:rPr>
                <w:rFonts w:hint="eastAsia" w:ascii="仿宋_GB2312" w:hAnsi="仿宋_GB2312" w:eastAsia="仿宋_GB2312" w:cs="仿宋_GB2312"/>
                <w:szCs w:val="21"/>
                <w:shd w:val="clear" w:color="auto" w:fill="auto"/>
                <w:lang w:val="en-US" w:eastAsia="zh-CN"/>
              </w:rPr>
              <w:t>：</w:t>
            </w:r>
          </w:p>
          <w:p w14:paraId="7A5CD8B8">
            <w:pPr>
              <w:numPr>
                <w:ilvl w:val="0"/>
                <w:numId w:val="3"/>
              </w:numPr>
              <w:spacing w:line="276" w:lineRule="auto"/>
              <w:ind w:left="420" w:leftChars="0" w:hanging="420" w:firstLineChars="0"/>
              <w:rPr>
                <w:rFonts w:hint="default"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更新2024年报表：</w:t>
            </w:r>
          </w:p>
          <w:p w14:paraId="52513788">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【102-1】</w:t>
            </w:r>
            <w:r>
              <w:rPr>
                <w:rFonts w:hint="default" w:ascii="仿宋_GB2312" w:hAnsi="仿宋_GB2312" w:eastAsia="仿宋_GB2312" w:cs="仿宋_GB2312"/>
                <w:szCs w:val="21"/>
                <w:shd w:val="clear" w:color="auto" w:fill="auto"/>
                <w:lang w:val="en-US" w:eastAsia="zh-CN"/>
              </w:rPr>
              <w:t>从业人员及工资总额</w:t>
            </w:r>
            <w:r>
              <w:rPr>
                <w:rFonts w:hint="eastAsia" w:ascii="仿宋_GB2312" w:hAnsi="仿宋_GB2312" w:eastAsia="仿宋_GB2312" w:cs="仿宋_GB2312"/>
                <w:szCs w:val="21"/>
                <w:shd w:val="clear" w:color="auto" w:fill="auto"/>
                <w:lang w:val="en-US" w:eastAsia="zh-CN"/>
              </w:rPr>
              <w:t>；</w:t>
            </w:r>
          </w:p>
          <w:p w14:paraId="46BE0260">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【B103】规上工业-财务状况；</w:t>
            </w:r>
          </w:p>
          <w:p w14:paraId="10623CD4">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【C103】资质内建筑-财务状况；</w:t>
            </w:r>
          </w:p>
          <w:p w14:paraId="265268AE">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【E103】限上批发零售-财务状况；</w:t>
            </w:r>
          </w:p>
          <w:p w14:paraId="457F3568">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【E104-1】批发和零售业经营情况；</w:t>
            </w:r>
          </w:p>
          <w:p w14:paraId="2BD82481">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【F103】规上服务-财务状况；</w:t>
            </w:r>
          </w:p>
          <w:p w14:paraId="432DE4F5">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【S103】限上住宿餐饮-财务状况；</w:t>
            </w:r>
          </w:p>
          <w:p w14:paraId="417065AF">
            <w:pPr>
              <w:numPr>
                <w:numId w:val="0"/>
              </w:numPr>
              <w:spacing w:line="276" w:lineRule="auto"/>
              <w:ind w:leftChars="0"/>
              <w:rPr>
                <w:rFonts w:hint="eastAsia"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【S104-1】</w:t>
            </w:r>
            <w:r>
              <w:rPr>
                <w:rFonts w:hint="default" w:ascii="仿宋_GB2312" w:hAnsi="仿宋_GB2312" w:eastAsia="仿宋_GB2312" w:cs="仿宋_GB2312"/>
                <w:szCs w:val="21"/>
                <w:shd w:val="clear" w:color="auto" w:fill="auto"/>
                <w:lang w:val="en-US" w:eastAsia="zh-CN"/>
              </w:rPr>
              <w:t>住宿和餐饮业经营情况</w:t>
            </w:r>
            <w:r>
              <w:rPr>
                <w:rFonts w:hint="eastAsia" w:ascii="仿宋_GB2312" w:hAnsi="仿宋_GB2312" w:eastAsia="仿宋_GB2312" w:cs="仿宋_GB2312"/>
                <w:szCs w:val="21"/>
                <w:shd w:val="clear" w:color="auto" w:fill="auto"/>
                <w:lang w:val="en-US" w:eastAsia="zh-CN"/>
              </w:rPr>
              <w:t>；</w:t>
            </w:r>
          </w:p>
          <w:p w14:paraId="3193EFB6">
            <w:pPr>
              <w:numPr>
                <w:numId w:val="0"/>
              </w:numPr>
              <w:spacing w:line="276" w:lineRule="auto"/>
              <w:ind w:leftChars="0"/>
              <w:rPr>
                <w:rFonts w:hint="default" w:ascii="仿宋_GB2312" w:hAnsi="仿宋_GB2312" w:eastAsia="仿宋_GB2312" w:cs="仿宋_GB2312"/>
                <w:szCs w:val="21"/>
                <w:shd w:val="clear" w:color="auto" w:fill="auto"/>
                <w:lang w:val="en-US" w:eastAsia="zh-CN"/>
              </w:rPr>
            </w:pPr>
            <w:r>
              <w:rPr>
                <w:rFonts w:hint="eastAsia" w:ascii="仿宋_GB2312" w:hAnsi="仿宋_GB2312" w:eastAsia="仿宋_GB2312" w:cs="仿宋_GB2312"/>
                <w:szCs w:val="21"/>
                <w:shd w:val="clear" w:color="auto" w:fill="auto"/>
                <w:lang w:val="en-US" w:eastAsia="zh-CN"/>
              </w:rPr>
              <w:t>【X103】房地产开发--财务状况</w:t>
            </w:r>
          </w:p>
        </w:tc>
        <w:tc>
          <w:tcPr>
            <w:tcW w:w="2955" w:type="dxa"/>
            <w:shd w:val="clear" w:color="auto" w:fill="auto"/>
            <w:vAlign w:val="center"/>
          </w:tcPr>
          <w:p w14:paraId="206C1994">
            <w:pPr>
              <w:spacing w:line="276" w:lineRule="auto"/>
              <w:rPr>
                <w:rFonts w:hint="eastAsia" w:ascii="仿宋_GB2312" w:hAnsi="仿宋_GB2312" w:eastAsia="仿宋_GB2312" w:cs="仿宋_GB2312"/>
                <w:szCs w:val="21"/>
              </w:rPr>
            </w:pPr>
            <w:r>
              <w:rPr>
                <w:rFonts w:hint="eastAsia" w:ascii="仿宋_GB2312" w:hAnsi="仿宋_GB2312" w:eastAsia="仿宋_GB2312" w:cs="仿宋_GB2312"/>
                <w:szCs w:val="21"/>
              </w:rPr>
              <w:t>规上工业、资质内建筑业、</w:t>
            </w:r>
            <w:r>
              <w:rPr>
                <w:rFonts w:hint="eastAsia" w:ascii="仿宋_GB2312" w:hAnsi="仿宋_GB2312" w:eastAsia="仿宋_GB2312" w:cs="仿宋_GB2312"/>
                <w:szCs w:val="21"/>
                <w:lang w:val="en-US" w:eastAsia="zh-CN"/>
              </w:rPr>
              <w:t>房地产开发业、</w:t>
            </w:r>
            <w:r>
              <w:rPr>
                <w:rFonts w:hint="eastAsia" w:ascii="仿宋_GB2312" w:hAnsi="仿宋_GB2312" w:eastAsia="仿宋_GB2312" w:cs="仿宋_GB2312"/>
                <w:szCs w:val="21"/>
              </w:rPr>
              <w:t>限额以上批发和零售、限额以上住宿和餐饮、规上服务业</w:t>
            </w:r>
          </w:p>
        </w:tc>
      </w:tr>
    </w:tbl>
    <w:p w14:paraId="7C830203">
      <w:pPr>
        <w:pStyle w:val="3"/>
        <w:keepNext/>
        <w:keepLines/>
        <w:pageBreakBefore w:val="0"/>
        <w:widowControl w:val="0"/>
        <w:kinsoku/>
        <w:wordWrap/>
        <w:overflowPunct/>
        <w:topLinePunct w:val="0"/>
        <w:autoSpaceDE/>
        <w:autoSpaceDN/>
        <w:bidi w:val="0"/>
        <w:adjustRightInd/>
        <w:snapToGrid/>
        <w:spacing w:line="240" w:lineRule="auto"/>
        <w:textAlignment w:val="auto"/>
      </w:pPr>
      <w:r>
        <w:rPr>
          <w:rFonts w:hint="eastAsia"/>
          <w:lang w:val="en-US" w:eastAsia="zh-CN"/>
        </w:rPr>
        <w:t>二、</w:t>
      </w:r>
      <w:r>
        <w:t>修复、优化清单</w:t>
      </w:r>
    </w:p>
    <w:p w14:paraId="4BB68E97">
      <w:pPr>
        <w:keepNext w:val="0"/>
        <w:keepLines w:val="0"/>
        <w:pageBreakBefore w:val="0"/>
        <w:widowControl w:val="0"/>
        <w:numPr>
          <w:ilvl w:val="0"/>
          <w:numId w:val="4"/>
        </w:numPr>
        <w:kinsoku/>
        <w:wordWrap/>
        <w:overflowPunct/>
        <w:topLinePunct w:val="0"/>
        <w:autoSpaceDE/>
        <w:autoSpaceDN/>
        <w:bidi w:val="0"/>
        <w:adjustRightInd/>
        <w:snapToGrid/>
        <w:spacing w:line="240" w:lineRule="atLeast"/>
        <w:ind w:left="556" w:hanging="556"/>
        <w:jc w:val="left"/>
        <w:textAlignment w:val="auto"/>
        <w:rPr>
          <w:rFonts w:ascii="Times New Roman" w:hAnsi="Times New Roman" w:eastAsia="宋体" w:cs="Times New Roman"/>
          <w:sz w:val="28"/>
        </w:rPr>
      </w:pPr>
      <w:r>
        <w:rPr>
          <w:rFonts w:hint="eastAsia" w:ascii="Times New Roman" w:hAnsi="Times New Roman" w:eastAsia="宋体" w:cs="Times New Roman"/>
          <w:sz w:val="28"/>
          <w:lang w:val="en-US" w:eastAsia="zh-CN"/>
        </w:rPr>
        <w:t>规上工业-生产销售账页：</w:t>
      </w:r>
    </w:p>
    <w:p w14:paraId="2FD1BA79">
      <w:pPr>
        <w:keepNext w:val="0"/>
        <w:keepLines w:val="0"/>
        <w:pageBreakBefore w:val="0"/>
        <w:widowControl w:val="0"/>
        <w:numPr>
          <w:ilvl w:val="0"/>
          <w:numId w:val="5"/>
        </w:numPr>
        <w:kinsoku/>
        <w:wordWrap/>
        <w:overflowPunct/>
        <w:topLinePunct w:val="0"/>
        <w:autoSpaceDE/>
        <w:autoSpaceDN/>
        <w:bidi w:val="0"/>
        <w:adjustRightInd/>
        <w:snapToGrid/>
        <w:spacing w:line="240" w:lineRule="atLeast"/>
        <w:ind w:left="840" w:leftChars="0" w:hanging="420" w:firstLineChars="0"/>
        <w:jc w:val="left"/>
        <w:textAlignment w:val="auto"/>
        <w:rPr>
          <w:rFonts w:ascii="Times New Roman" w:hAnsi="Times New Roman" w:eastAsia="宋体" w:cs="Times New Roman"/>
          <w:sz w:val="28"/>
        </w:rPr>
      </w:pPr>
      <w:r>
        <w:rPr>
          <w:rFonts w:hint="eastAsia" w:ascii="Times New Roman" w:hAnsi="Times New Roman" w:eastAsia="宋体" w:cs="Times New Roman"/>
          <w:sz w:val="28"/>
          <w:lang w:val="en-US" w:eastAsia="zh-CN"/>
        </w:rPr>
        <w:t>修复了成品价值明细表的合计编辑前后数据不一致的问题；</w:t>
      </w:r>
    </w:p>
    <w:p w14:paraId="69EC2BD0">
      <w:pPr>
        <w:keepNext w:val="0"/>
        <w:keepLines w:val="0"/>
        <w:pageBreakBefore w:val="0"/>
        <w:widowControl w:val="0"/>
        <w:numPr>
          <w:ilvl w:val="0"/>
          <w:numId w:val="5"/>
        </w:numPr>
        <w:kinsoku/>
        <w:wordWrap/>
        <w:overflowPunct/>
        <w:topLinePunct w:val="0"/>
        <w:autoSpaceDE/>
        <w:autoSpaceDN/>
        <w:bidi w:val="0"/>
        <w:adjustRightInd/>
        <w:snapToGrid/>
        <w:spacing w:line="240" w:lineRule="atLeast"/>
        <w:ind w:left="840" w:leftChars="0" w:hanging="420" w:firstLineChars="0"/>
        <w:jc w:val="left"/>
        <w:textAlignment w:val="auto"/>
        <w:rPr>
          <w:rFonts w:ascii="Times New Roman" w:hAnsi="Times New Roman" w:eastAsia="宋体" w:cs="Times New Roman"/>
          <w:sz w:val="28"/>
        </w:rPr>
      </w:pPr>
      <w:r>
        <w:rPr>
          <w:rFonts w:hint="eastAsia" w:ascii="Times New Roman" w:hAnsi="Times New Roman" w:eastAsia="宋体" w:cs="Times New Roman"/>
          <w:sz w:val="28"/>
          <w:lang w:val="en-US" w:eastAsia="zh-CN"/>
        </w:rPr>
        <w:t>优化了产品基本信息表、对外加工费收入明细表、自制半成品期末期初差额价值明细表中所属工业行业小类代码的强制校验，支持为空时可正常保存；</w:t>
      </w:r>
    </w:p>
    <w:p w14:paraId="0BFD32EF">
      <w:pPr>
        <w:pageBreakBefore w:val="0"/>
        <w:widowControl w:val="0"/>
        <w:numPr>
          <w:ilvl w:val="0"/>
          <w:numId w:val="4"/>
        </w:numPr>
        <w:kinsoku/>
        <w:wordWrap/>
        <w:overflowPunct/>
        <w:topLinePunct w:val="0"/>
        <w:autoSpaceDE/>
        <w:autoSpaceDN/>
        <w:bidi w:val="0"/>
        <w:adjustRightInd/>
        <w:snapToGrid/>
        <w:spacing w:line="240" w:lineRule="atLeast"/>
        <w:ind w:left="558" w:hanging="558"/>
        <w:jc w:val="left"/>
        <w:textAlignment w:val="auto"/>
        <w:rPr>
          <w:rFonts w:ascii="Times New Roman" w:hAnsi="Times New Roman" w:eastAsia="宋体" w:cs="Times New Roman"/>
          <w:sz w:val="28"/>
        </w:rPr>
      </w:pPr>
      <w:r>
        <w:rPr>
          <w:rFonts w:hint="eastAsia" w:ascii="Times New Roman" w:hAnsi="Times New Roman" w:eastAsia="宋体" w:cs="Times New Roman"/>
          <w:sz w:val="28"/>
          <w:lang w:val="en-US" w:eastAsia="zh-CN"/>
        </w:rPr>
        <w:t>限额以上住宿和餐饮-经营账页：</w:t>
      </w:r>
    </w:p>
    <w:p w14:paraId="7DEBF762">
      <w:pPr>
        <w:pageBreakBefore w:val="0"/>
        <w:widowControl w:val="0"/>
        <w:numPr>
          <w:ilvl w:val="0"/>
          <w:numId w:val="6"/>
        </w:numPr>
        <w:tabs>
          <w:tab w:val="clear" w:pos="420"/>
        </w:tabs>
        <w:kinsoku/>
        <w:wordWrap/>
        <w:overflowPunct/>
        <w:topLinePunct w:val="0"/>
        <w:autoSpaceDE/>
        <w:autoSpaceDN/>
        <w:bidi w:val="0"/>
        <w:adjustRightInd/>
        <w:snapToGrid/>
        <w:spacing w:line="240" w:lineRule="atLeast"/>
        <w:ind w:left="840" w:leftChars="0" w:hanging="420" w:firstLineChars="0"/>
        <w:jc w:val="left"/>
        <w:textAlignment w:val="auto"/>
        <w:rPr>
          <w:rFonts w:ascii="Times New Roman" w:hAnsi="Times New Roman" w:eastAsia="宋体" w:cs="Times New Roman"/>
          <w:sz w:val="28"/>
        </w:rPr>
      </w:pPr>
      <w:r>
        <w:rPr>
          <w:rFonts w:hint="eastAsia" w:ascii="Times New Roman" w:hAnsi="Times New Roman" w:eastAsia="宋体" w:cs="Times New Roman"/>
          <w:sz w:val="28"/>
          <w:lang w:val="en-US" w:eastAsia="zh-CN"/>
        </w:rPr>
        <w:t>修复了</w:t>
      </w:r>
      <w:r>
        <w:rPr>
          <w:rFonts w:hint="eastAsia" w:ascii="Times New Roman" w:hAnsi="Times New Roman" w:eastAsia="宋体" w:cs="Times New Roman"/>
          <w:sz w:val="28"/>
        </w:rPr>
        <w:t>财务账页汇总表，应付职工薪酬</w:t>
      </w:r>
      <w:r>
        <w:rPr>
          <w:rFonts w:hint="eastAsia" w:ascii="Times New Roman" w:hAnsi="Times New Roman" w:eastAsia="宋体" w:cs="Times New Roman"/>
          <w:sz w:val="28"/>
          <w:lang w:val="en-US" w:eastAsia="zh-CN"/>
        </w:rPr>
        <w:t>的</w:t>
      </w:r>
      <w:r>
        <w:rPr>
          <w:rFonts w:hint="eastAsia" w:ascii="Times New Roman" w:hAnsi="Times New Roman" w:eastAsia="宋体" w:cs="Times New Roman"/>
          <w:sz w:val="28"/>
        </w:rPr>
        <w:t>指标</w:t>
      </w:r>
      <w:r>
        <w:rPr>
          <w:rFonts w:hint="eastAsia" w:ascii="Times New Roman" w:hAnsi="Times New Roman" w:eastAsia="宋体" w:cs="Times New Roman"/>
          <w:sz w:val="28"/>
          <w:lang w:val="en-US" w:eastAsia="zh-CN"/>
        </w:rPr>
        <w:t>没有汇总的问题；</w:t>
      </w:r>
    </w:p>
    <w:p w14:paraId="291A6ACD">
      <w:pPr>
        <w:pageBreakBefore w:val="0"/>
        <w:widowControl w:val="0"/>
        <w:numPr>
          <w:ilvl w:val="0"/>
          <w:numId w:val="6"/>
        </w:numPr>
        <w:tabs>
          <w:tab w:val="clear" w:pos="420"/>
        </w:tabs>
        <w:kinsoku/>
        <w:wordWrap/>
        <w:overflowPunct/>
        <w:topLinePunct w:val="0"/>
        <w:autoSpaceDE/>
        <w:autoSpaceDN/>
        <w:bidi w:val="0"/>
        <w:adjustRightInd/>
        <w:snapToGrid/>
        <w:spacing w:line="240" w:lineRule="atLeast"/>
        <w:ind w:left="840" w:leftChars="0" w:hanging="420" w:firstLineChars="0"/>
        <w:jc w:val="left"/>
        <w:textAlignment w:val="auto"/>
        <w:rPr>
          <w:rFonts w:hint="default" w:ascii="Times New Roman" w:hAnsi="Times New Roman" w:eastAsia="宋体" w:cs="Times New Roman"/>
          <w:sz w:val="28"/>
          <w:lang w:val="en-US"/>
        </w:rPr>
      </w:pPr>
      <w:r>
        <w:rPr>
          <w:rFonts w:hint="eastAsia" w:ascii="Times New Roman" w:hAnsi="Times New Roman" w:eastAsia="宋体" w:cs="Times New Roman"/>
          <w:sz w:val="28"/>
          <w:lang w:val="en-US" w:eastAsia="zh-CN"/>
        </w:rPr>
        <w:t>优化了账页中，</w:t>
      </w:r>
      <w:r>
        <w:rPr>
          <w:rFonts w:hint="eastAsia" w:ascii="Times New Roman" w:hAnsi="Times New Roman" w:eastAsia="宋体" w:cs="Times New Roman"/>
          <w:sz w:val="28"/>
        </w:rPr>
        <w:t>1-本月合计值保存后，数据</w:t>
      </w:r>
      <w:r>
        <w:rPr>
          <w:rFonts w:hint="eastAsia" w:ascii="Times New Roman" w:hAnsi="Times New Roman" w:eastAsia="宋体" w:cs="Times New Roman"/>
          <w:sz w:val="28"/>
          <w:lang w:val="en-US" w:eastAsia="zh-CN"/>
        </w:rPr>
        <w:t>没有</w:t>
      </w:r>
      <w:r>
        <w:rPr>
          <w:rFonts w:hint="eastAsia" w:ascii="Times New Roman" w:hAnsi="Times New Roman" w:eastAsia="宋体" w:cs="Times New Roman"/>
          <w:sz w:val="28"/>
        </w:rPr>
        <w:t>重置更新</w:t>
      </w:r>
      <w:r>
        <w:rPr>
          <w:rFonts w:hint="eastAsia" w:ascii="Times New Roman" w:hAnsi="Times New Roman" w:eastAsia="宋体" w:cs="Times New Roman"/>
          <w:sz w:val="28"/>
          <w:lang w:val="en-US" w:eastAsia="zh-CN"/>
        </w:rPr>
        <w:t>的问题；</w:t>
      </w:r>
    </w:p>
    <w:p w14:paraId="2BEA27E9">
      <w:pPr>
        <w:pageBreakBefore w:val="0"/>
        <w:widowControl w:val="0"/>
        <w:numPr>
          <w:ilvl w:val="0"/>
          <w:numId w:val="4"/>
        </w:numPr>
        <w:kinsoku/>
        <w:wordWrap/>
        <w:overflowPunct/>
        <w:topLinePunct w:val="0"/>
        <w:autoSpaceDE/>
        <w:autoSpaceDN/>
        <w:bidi w:val="0"/>
        <w:adjustRightInd/>
        <w:snapToGrid/>
        <w:spacing w:line="240" w:lineRule="atLeast"/>
        <w:ind w:left="558" w:hanging="558"/>
        <w:jc w:val="left"/>
        <w:textAlignment w:val="auto"/>
        <w:rPr>
          <w:rFonts w:hint="default"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各财务账页：优化了财务账页智能填报后，对数值格式标准的判断；</w:t>
      </w:r>
    </w:p>
    <w:p w14:paraId="5F9A1862">
      <w:pPr>
        <w:pageBreakBefore w:val="0"/>
        <w:widowControl w:val="0"/>
        <w:numPr>
          <w:ilvl w:val="0"/>
          <w:numId w:val="4"/>
        </w:numPr>
        <w:kinsoku/>
        <w:wordWrap/>
        <w:overflowPunct/>
        <w:topLinePunct w:val="0"/>
        <w:autoSpaceDE/>
        <w:autoSpaceDN/>
        <w:bidi w:val="0"/>
        <w:adjustRightInd/>
        <w:snapToGrid/>
        <w:spacing w:line="240" w:lineRule="atLeast"/>
        <w:ind w:left="558" w:hanging="558"/>
        <w:jc w:val="left"/>
        <w:textAlignment w:val="auto"/>
        <w:rPr>
          <w:rFonts w:hint="default" w:ascii="Times New Roman" w:hAnsi="Times New Roman" w:eastAsia="宋体" w:cs="Times New Roman"/>
          <w:sz w:val="28"/>
          <w:lang w:val="en-US" w:eastAsia="zh-CN"/>
        </w:rPr>
        <w:sectPr>
          <w:pgSz w:w="16838" w:h="11906" w:orient="landscape"/>
          <w:pgMar w:top="1800" w:right="1440" w:bottom="1800" w:left="1440" w:header="851" w:footer="992" w:gutter="0"/>
          <w:cols w:space="425" w:num="1"/>
          <w:docGrid w:type="lines" w:linePitch="312" w:charSpace="0"/>
        </w:sectPr>
      </w:pPr>
      <w:r>
        <w:rPr>
          <w:rFonts w:hint="eastAsia" w:ascii="Times New Roman" w:hAnsi="Times New Roman" w:eastAsia="宋体" w:cs="Times New Roman"/>
          <w:sz w:val="28"/>
          <w:lang w:val="en-US" w:eastAsia="zh-CN"/>
        </w:rPr>
        <w:t>劳动工资账页：优化了因离职时间存在空格，导致劳动工资人数、工资总额汇总不对的问题。</w:t>
      </w:r>
    </w:p>
    <w:p w14:paraId="5142DD8C">
      <w:pPr>
        <w:pStyle w:val="2"/>
        <w:bidi w:val="0"/>
        <w:jc w:val="center"/>
        <w:rPr>
          <w:rFonts w:hint="eastAsia"/>
        </w:rPr>
      </w:pPr>
      <w:r>
        <w:t>企业电子统计台账V 2.0.</w:t>
      </w:r>
      <w:r>
        <w:rPr>
          <w:rFonts w:hint="eastAsia"/>
          <w:lang w:val="en-US" w:eastAsia="zh-CN"/>
        </w:rPr>
        <w:t>1</w:t>
      </w:r>
      <w:r>
        <w:t>版</w:t>
      </w:r>
      <w:r>
        <w:rPr>
          <w:rFonts w:hint="eastAsia"/>
        </w:rPr>
        <w:t>本升级</w:t>
      </w:r>
      <w:r>
        <w:t>清单</w:t>
      </w:r>
    </w:p>
    <w:p w14:paraId="5210DC3F">
      <w:pPr>
        <w:pStyle w:val="3"/>
        <w:numPr>
          <w:ilvl w:val="0"/>
          <w:numId w:val="7"/>
        </w:numPr>
        <w:bidi w:val="0"/>
      </w:pPr>
      <w:r>
        <w:rPr>
          <w:rFonts w:hint="eastAsia"/>
          <w:lang w:val="en-US" w:eastAsia="zh-CN"/>
        </w:rPr>
        <w:t>功能升级</w:t>
      </w:r>
      <w:r>
        <w:t>清单</w:t>
      </w:r>
    </w:p>
    <w:p w14:paraId="2672E6EF">
      <w:pPr>
        <w:numPr>
          <w:ilvl w:val="0"/>
          <w:numId w:val="0"/>
        </w:numPr>
        <w:bidi w:val="0"/>
      </w:pPr>
    </w:p>
    <w:tbl>
      <w:tblPr>
        <w:tblStyle w:val="5"/>
        <w:tblW w:w="139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3105"/>
        <w:gridCol w:w="7170"/>
        <w:gridCol w:w="2955"/>
      </w:tblGrid>
      <w:tr w14:paraId="659A3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697" w:type="dxa"/>
            <w:vAlign w:val="center"/>
          </w:tcPr>
          <w:p w14:paraId="253E4747">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序号</w:t>
            </w:r>
          </w:p>
        </w:tc>
        <w:tc>
          <w:tcPr>
            <w:tcW w:w="3105" w:type="dxa"/>
            <w:vAlign w:val="center"/>
          </w:tcPr>
          <w:p w14:paraId="77DD41F3">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需求</w:t>
            </w:r>
          </w:p>
        </w:tc>
        <w:tc>
          <w:tcPr>
            <w:tcW w:w="7170" w:type="dxa"/>
            <w:vAlign w:val="center"/>
          </w:tcPr>
          <w:p w14:paraId="46CF392F">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描述</w:t>
            </w:r>
          </w:p>
        </w:tc>
        <w:tc>
          <w:tcPr>
            <w:tcW w:w="2955" w:type="dxa"/>
            <w:vAlign w:val="center"/>
          </w:tcPr>
          <w:p w14:paraId="2CAA3B56">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涉及行业</w:t>
            </w:r>
          </w:p>
        </w:tc>
      </w:tr>
      <w:tr w14:paraId="584C4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4AFFF53B">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w:t>
            </w:r>
          </w:p>
        </w:tc>
        <w:tc>
          <w:tcPr>
            <w:tcW w:w="3105" w:type="dxa"/>
            <w:vAlign w:val="center"/>
          </w:tcPr>
          <w:p w14:paraId="45792298">
            <w:pPr>
              <w:spacing w:line="276" w:lineRule="auto"/>
              <w:rPr>
                <w:rFonts w:ascii="Times New Roman" w:hAnsi="Times New Roman" w:eastAsia="宋体" w:cs="Times New Roman"/>
                <w:szCs w:val="21"/>
                <w:shd w:val="clear" w:color="auto" w:fill="auto"/>
              </w:rPr>
            </w:pPr>
            <w:r>
              <w:rPr>
                <w:rFonts w:ascii="Segoe UI" w:hAnsi="Segoe UI" w:eastAsia="Segoe UI" w:cs="Segoe UI"/>
                <w:i w:val="0"/>
                <w:iCs w:val="0"/>
                <w:caps w:val="0"/>
                <w:spacing w:val="0"/>
                <w:sz w:val="21"/>
                <w:szCs w:val="21"/>
                <w:shd w:val="clear" w:color="auto" w:fill="auto"/>
              </w:rPr>
              <w:t>企业信息页面</w:t>
            </w:r>
            <w:r>
              <w:rPr>
                <w:rFonts w:hint="eastAsia" w:ascii="Segoe UI" w:hAnsi="Segoe UI" w:eastAsia="宋体" w:cs="Segoe UI"/>
                <w:i w:val="0"/>
                <w:iCs w:val="0"/>
                <w:caps w:val="0"/>
                <w:spacing w:val="0"/>
                <w:sz w:val="21"/>
                <w:szCs w:val="21"/>
                <w:shd w:val="clear" w:color="auto" w:fill="auto"/>
                <w:lang w:eastAsia="zh-CN"/>
              </w:rPr>
              <w:t>：</w:t>
            </w:r>
            <w:r>
              <w:rPr>
                <w:rFonts w:ascii="Segoe UI" w:hAnsi="Segoe UI" w:eastAsia="Segoe UI" w:cs="Segoe UI"/>
                <w:i w:val="0"/>
                <w:iCs w:val="0"/>
                <w:caps w:val="0"/>
                <w:spacing w:val="0"/>
                <w:sz w:val="21"/>
                <w:szCs w:val="21"/>
                <w:shd w:val="clear" w:color="auto" w:fill="auto"/>
              </w:rPr>
              <w:t>登记注册统计类别增加选项</w:t>
            </w:r>
          </w:p>
        </w:tc>
        <w:tc>
          <w:tcPr>
            <w:tcW w:w="7170" w:type="dxa"/>
            <w:vAlign w:val="center"/>
          </w:tcPr>
          <w:p w14:paraId="3F72052A">
            <w:pPr>
              <w:numPr>
                <w:ilvl w:val="0"/>
                <w:numId w:val="8"/>
              </w:numPr>
              <w:spacing w:line="276" w:lineRule="auto"/>
              <w:rPr>
                <w:rFonts w:ascii="Times New Roman" w:hAnsi="Times New Roman" w:eastAsia="宋体" w:cs="Times New Roman"/>
                <w:szCs w:val="21"/>
                <w:shd w:val="clear" w:color="auto" w:fill="auto"/>
              </w:rPr>
            </w:pPr>
            <w:r>
              <w:rPr>
                <w:rFonts w:ascii="Segoe UI" w:hAnsi="Segoe UI" w:eastAsia="Segoe UI" w:cs="Segoe UI"/>
                <w:b/>
                <w:bCs/>
                <w:i w:val="0"/>
                <w:iCs w:val="0"/>
                <w:caps w:val="0"/>
                <w:spacing w:val="0"/>
                <w:sz w:val="24"/>
                <w:szCs w:val="24"/>
                <w:shd w:val="clear" w:color="auto" w:fill="auto"/>
              </w:rPr>
              <w:t>登记注册统计类别</w:t>
            </w:r>
            <w:r>
              <w:rPr>
                <w:rFonts w:ascii="Segoe UI" w:hAnsi="Segoe UI" w:eastAsia="Segoe UI" w:cs="Segoe UI"/>
                <w:i w:val="0"/>
                <w:iCs w:val="0"/>
                <w:caps w:val="0"/>
                <w:spacing w:val="0"/>
                <w:sz w:val="21"/>
                <w:szCs w:val="21"/>
                <w:shd w:val="clear" w:color="auto" w:fill="auto"/>
              </w:rPr>
              <w:t xml:space="preserve">： </w:t>
            </w:r>
          </w:p>
          <w:p w14:paraId="1B04DC54">
            <w:pPr>
              <w:numPr>
                <w:ilvl w:val="0"/>
                <w:numId w:val="0"/>
              </w:numPr>
              <w:spacing w:line="276" w:lineRule="auto"/>
              <w:rPr>
                <w:rFonts w:ascii="Times New Roman" w:hAnsi="Times New Roman" w:eastAsia="宋体" w:cs="Times New Roman"/>
                <w:szCs w:val="21"/>
                <w:shd w:val="clear" w:color="auto" w:fill="auto"/>
              </w:rPr>
            </w:pPr>
            <w:r>
              <w:rPr>
                <w:rFonts w:ascii="Segoe UI" w:hAnsi="Segoe UI" w:eastAsia="Segoe UI" w:cs="Segoe UI"/>
                <w:i w:val="0"/>
                <w:iCs w:val="0"/>
                <w:caps w:val="0"/>
                <w:spacing w:val="0"/>
                <w:sz w:val="21"/>
                <w:szCs w:val="21"/>
                <w:shd w:val="clear" w:color="auto" w:fill="auto"/>
              </w:rPr>
              <w:t>111国有独资公司  112私营有限责任公司 119其他有限责任公司 121私营股份有限公司 129其他股份有限公司 131全民所有制企业（国有企业） 132集体所有制企业（集体企业）134联营企业 140个人独资企业 150合伙企业 190其他内资企业 210港澳台投资有限责任公司 220港澳台投资股份有限公司 230港澳台投资合伙企业 290其他港澳台投资企业 310外商投资有限责任公司 320外商投资股份有限公司 330外商投资合伙企业 390其他外商投资企业 400农民专业合作社（联合社）500个体工商户 900其他市场主体</w:t>
            </w:r>
          </w:p>
        </w:tc>
        <w:tc>
          <w:tcPr>
            <w:tcW w:w="2955" w:type="dxa"/>
            <w:vAlign w:val="center"/>
          </w:tcPr>
          <w:p w14:paraId="2CD6DB4F">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r>
              <w:rPr>
                <w:rFonts w:hint="eastAsia" w:ascii="Times New Roman" w:hAnsi="Times New Roman" w:eastAsia="宋体" w:cs="Times New Roman"/>
                <w:szCs w:val="21"/>
                <w:lang w:val="en-US" w:eastAsia="zh-CN"/>
              </w:rPr>
              <w:t>房地产开发</w:t>
            </w:r>
            <w:r>
              <w:rPr>
                <w:rFonts w:hint="eastAsia" w:ascii="Times New Roman" w:hAnsi="Times New Roman" w:eastAsia="宋体" w:cs="Times New Roman"/>
                <w:szCs w:val="21"/>
                <w:lang w:eastAsia="zh-CN"/>
              </w:rPr>
              <w:t>、</w:t>
            </w:r>
            <w:r>
              <w:rPr>
                <w:rFonts w:ascii="Times New Roman" w:hAnsi="Times New Roman" w:eastAsia="宋体" w:cs="Times New Roman"/>
                <w:szCs w:val="21"/>
              </w:rPr>
              <w:t>限额以上批发和零售、限额以上住宿和餐饮、规上服务业</w:t>
            </w:r>
          </w:p>
        </w:tc>
      </w:tr>
      <w:tr w14:paraId="13C06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5F4B76EA">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2</w:t>
            </w:r>
          </w:p>
        </w:tc>
        <w:tc>
          <w:tcPr>
            <w:tcW w:w="3105" w:type="dxa"/>
            <w:shd w:val="clear" w:color="auto" w:fill="auto"/>
            <w:vAlign w:val="center"/>
          </w:tcPr>
          <w:p w14:paraId="255D9F9F">
            <w:pPr>
              <w:spacing w:line="276" w:lineRule="auto"/>
              <w:rPr>
                <w:rFonts w:ascii="Times New Roman" w:hAnsi="Times New Roman" w:eastAsia="宋体" w:cs="Times New Roman"/>
                <w:kern w:val="2"/>
                <w:sz w:val="21"/>
                <w:szCs w:val="21"/>
                <w:shd w:val="clear" w:color="auto" w:fill="auto"/>
                <w:lang w:val="en-US" w:eastAsia="zh-CN" w:bidi="ar-SA"/>
              </w:rPr>
            </w:pPr>
            <w:r>
              <w:rPr>
                <w:rFonts w:ascii="Segoe UI" w:hAnsi="Segoe UI" w:eastAsia="Segoe UI" w:cs="Segoe UI"/>
                <w:i w:val="0"/>
                <w:iCs w:val="0"/>
                <w:caps w:val="0"/>
                <w:spacing w:val="0"/>
                <w:sz w:val="21"/>
                <w:szCs w:val="21"/>
                <w:shd w:val="clear" w:color="auto" w:fill="auto"/>
              </w:rPr>
              <w:t>企业信息页面</w:t>
            </w:r>
            <w:r>
              <w:rPr>
                <w:rFonts w:hint="eastAsia" w:ascii="Segoe UI" w:hAnsi="Segoe UI" w:eastAsia="宋体" w:cs="Segoe UI"/>
                <w:i w:val="0"/>
                <w:iCs w:val="0"/>
                <w:caps w:val="0"/>
                <w:spacing w:val="0"/>
                <w:sz w:val="21"/>
                <w:szCs w:val="21"/>
                <w:shd w:val="clear" w:color="auto" w:fill="auto"/>
                <w:lang w:eastAsia="zh-CN"/>
              </w:rPr>
              <w:t>：</w:t>
            </w:r>
            <w:r>
              <w:rPr>
                <w:rFonts w:ascii="Segoe UI" w:hAnsi="Segoe UI" w:eastAsia="Segoe UI" w:cs="Segoe UI"/>
                <w:i w:val="0"/>
                <w:iCs w:val="0"/>
                <w:caps w:val="0"/>
                <w:spacing w:val="0"/>
                <w:sz w:val="21"/>
                <w:szCs w:val="21"/>
                <w:shd w:val="clear" w:color="auto" w:fill="auto"/>
              </w:rPr>
              <w:t>企业控股情况增加选项</w:t>
            </w:r>
          </w:p>
        </w:tc>
        <w:tc>
          <w:tcPr>
            <w:tcW w:w="7170" w:type="dxa"/>
            <w:vAlign w:val="center"/>
          </w:tcPr>
          <w:p w14:paraId="2E000F83">
            <w:pPr>
              <w:numPr>
                <w:ilvl w:val="0"/>
                <w:numId w:val="8"/>
              </w:numPr>
              <w:spacing w:line="276" w:lineRule="auto"/>
              <w:rPr>
                <w:rFonts w:ascii="Times New Roman" w:hAnsi="Times New Roman" w:eastAsia="宋体" w:cs="Times New Roman"/>
                <w:szCs w:val="21"/>
                <w:shd w:val="clear" w:color="auto" w:fill="auto"/>
              </w:rPr>
            </w:pPr>
            <w:r>
              <w:rPr>
                <w:rFonts w:ascii="Segoe UI" w:hAnsi="Segoe UI" w:eastAsia="Segoe UI" w:cs="Segoe UI"/>
                <w:b/>
                <w:bCs/>
                <w:i w:val="0"/>
                <w:iCs w:val="0"/>
                <w:caps w:val="0"/>
                <w:spacing w:val="0"/>
                <w:sz w:val="24"/>
                <w:szCs w:val="24"/>
                <w:shd w:val="clear" w:color="auto" w:fill="auto"/>
              </w:rPr>
              <w:t>企业控股情况</w:t>
            </w:r>
            <w:r>
              <w:rPr>
                <w:rFonts w:ascii="Segoe UI" w:hAnsi="Segoe UI" w:eastAsia="Segoe UI" w:cs="Segoe UI"/>
                <w:i w:val="0"/>
                <w:iCs w:val="0"/>
                <w:caps w:val="0"/>
                <w:spacing w:val="0"/>
                <w:sz w:val="21"/>
                <w:szCs w:val="21"/>
                <w:shd w:val="clear" w:color="auto" w:fill="auto"/>
              </w:rPr>
              <w:t>：</w:t>
            </w:r>
          </w:p>
          <w:p w14:paraId="64FBED25">
            <w:pPr>
              <w:numPr>
                <w:ilvl w:val="0"/>
                <w:numId w:val="0"/>
              </w:numPr>
              <w:spacing w:line="276" w:lineRule="auto"/>
              <w:ind w:leftChars="0"/>
              <w:rPr>
                <w:rFonts w:ascii="Times New Roman" w:hAnsi="Times New Roman" w:eastAsia="宋体" w:cs="Times New Roman"/>
                <w:szCs w:val="21"/>
                <w:shd w:val="clear" w:color="auto" w:fill="auto"/>
              </w:rPr>
            </w:pPr>
            <w:r>
              <w:rPr>
                <w:rFonts w:ascii="Segoe UI" w:hAnsi="Segoe UI" w:eastAsia="Segoe UI" w:cs="Segoe UI"/>
                <w:i w:val="0"/>
                <w:iCs w:val="0"/>
                <w:caps w:val="0"/>
                <w:spacing w:val="0"/>
                <w:sz w:val="21"/>
                <w:szCs w:val="21"/>
                <w:shd w:val="clear" w:color="auto" w:fill="auto"/>
              </w:rPr>
              <w:t xml:space="preserve"> 1国有控股 2集体控股 3私人控股 4港澳台控股 5外商控股 9其他</w:t>
            </w:r>
          </w:p>
        </w:tc>
        <w:tc>
          <w:tcPr>
            <w:tcW w:w="2955" w:type="dxa"/>
            <w:vAlign w:val="center"/>
          </w:tcPr>
          <w:p w14:paraId="12757246">
            <w:pPr>
              <w:spacing w:line="276" w:lineRule="auto"/>
              <w:rPr>
                <w:rFonts w:ascii="Times New Roman" w:hAnsi="Times New Roman" w:eastAsia="宋体" w:cs="Times New Roman"/>
                <w:szCs w:val="21"/>
              </w:rPr>
            </w:pPr>
            <w:r>
              <w:rPr>
                <w:rFonts w:ascii="Times New Roman" w:hAnsi="Times New Roman" w:eastAsia="宋体" w:cs="Times New Roman"/>
                <w:szCs w:val="21"/>
              </w:rPr>
              <w:t>通用功能</w:t>
            </w:r>
          </w:p>
        </w:tc>
      </w:tr>
      <w:tr w14:paraId="07E66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trPr>
        <w:tc>
          <w:tcPr>
            <w:tcW w:w="697" w:type="dxa"/>
            <w:vAlign w:val="center"/>
          </w:tcPr>
          <w:p w14:paraId="24F9A054">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3</w:t>
            </w:r>
          </w:p>
        </w:tc>
        <w:tc>
          <w:tcPr>
            <w:tcW w:w="3105" w:type="dxa"/>
            <w:vAlign w:val="center"/>
          </w:tcPr>
          <w:p w14:paraId="054B542A">
            <w:pPr>
              <w:spacing w:line="276" w:lineRule="auto"/>
              <w:rPr>
                <w:rFonts w:hint="default" w:ascii="Times New Roman" w:hAnsi="Times New Roman" w:eastAsia="宋体" w:cs="Times New Roman"/>
                <w:szCs w:val="21"/>
                <w:shd w:val="clear" w:color="auto" w:fill="auto"/>
                <w:lang w:val="en-US" w:eastAsia="zh-CN"/>
              </w:rPr>
            </w:pPr>
            <w:r>
              <w:rPr>
                <w:rFonts w:ascii="Segoe UI" w:hAnsi="Segoe UI" w:eastAsia="Segoe UI" w:cs="Segoe UI"/>
                <w:i w:val="0"/>
                <w:iCs w:val="0"/>
                <w:caps w:val="0"/>
                <w:spacing w:val="0"/>
                <w:sz w:val="21"/>
                <w:szCs w:val="21"/>
                <w:shd w:val="clear" w:color="auto" w:fill="auto"/>
              </w:rPr>
              <w:t>财务账页</w:t>
            </w:r>
            <w:r>
              <w:rPr>
                <w:rFonts w:hint="eastAsia" w:ascii="Segoe UI" w:hAnsi="Segoe UI" w:eastAsia="宋体" w:cs="Segoe UI"/>
                <w:i w:val="0"/>
                <w:iCs w:val="0"/>
                <w:caps w:val="0"/>
                <w:spacing w:val="0"/>
                <w:sz w:val="21"/>
                <w:szCs w:val="21"/>
                <w:shd w:val="clear" w:color="auto" w:fill="auto"/>
                <w:lang w:val="en-US" w:eastAsia="zh-CN"/>
              </w:rPr>
              <w:t>增加指标校验</w:t>
            </w:r>
          </w:p>
        </w:tc>
        <w:tc>
          <w:tcPr>
            <w:tcW w:w="7170" w:type="dxa"/>
            <w:vAlign w:val="center"/>
          </w:tcPr>
          <w:p w14:paraId="12BF457C">
            <w:pPr>
              <w:numPr>
                <w:ilvl w:val="0"/>
                <w:numId w:val="0"/>
              </w:numPr>
              <w:spacing w:line="276" w:lineRule="auto"/>
              <w:ind w:leftChars="0"/>
              <w:rPr>
                <w:rFonts w:ascii="Times New Roman" w:hAnsi="Times New Roman" w:eastAsia="宋体" w:cs="Times New Roman"/>
                <w:szCs w:val="21"/>
                <w:shd w:val="clear" w:color="auto" w:fill="auto"/>
              </w:rPr>
            </w:pPr>
            <w:r>
              <w:rPr>
                <w:rFonts w:ascii="Segoe UI" w:hAnsi="Segoe UI" w:eastAsia="Segoe UI" w:cs="Segoe UI"/>
                <w:b/>
                <w:bCs/>
                <w:i w:val="0"/>
                <w:iCs w:val="0"/>
                <w:caps w:val="0"/>
                <w:spacing w:val="0"/>
                <w:sz w:val="24"/>
                <w:szCs w:val="24"/>
                <w:shd w:val="clear" w:color="auto" w:fill="auto"/>
              </w:rPr>
              <w:t>营业收入指标增加2个核实性校验</w:t>
            </w:r>
            <w:r>
              <w:rPr>
                <w:rFonts w:ascii="Segoe UI" w:hAnsi="Segoe UI" w:eastAsia="Segoe UI" w:cs="Segoe UI"/>
                <w:i w:val="0"/>
                <w:iCs w:val="0"/>
                <w:caps w:val="0"/>
                <w:spacing w:val="0"/>
                <w:sz w:val="21"/>
                <w:szCs w:val="21"/>
                <w:shd w:val="clear" w:color="auto" w:fill="auto"/>
              </w:rPr>
              <w:t>：</w:t>
            </w:r>
          </w:p>
          <w:p w14:paraId="3A9911D4">
            <w:pPr>
              <w:numPr>
                <w:ilvl w:val="0"/>
                <w:numId w:val="8"/>
              </w:numPr>
              <w:spacing w:line="276" w:lineRule="auto"/>
              <w:ind w:left="420" w:leftChars="0" w:hanging="420" w:firstLineChars="0"/>
              <w:rPr>
                <w:rFonts w:ascii="Times New Roman" w:hAnsi="Times New Roman" w:eastAsia="宋体" w:cs="Times New Roman"/>
                <w:szCs w:val="21"/>
                <w:shd w:val="clear" w:color="auto" w:fill="auto"/>
              </w:rPr>
            </w:pPr>
            <w:r>
              <w:rPr>
                <w:rFonts w:hint="default" w:ascii="Segoe UI" w:hAnsi="Segoe UI" w:eastAsia="宋体" w:cs="Segoe UI"/>
                <w:i w:val="0"/>
                <w:iCs w:val="0"/>
                <w:caps w:val="0"/>
                <w:spacing w:val="0"/>
                <w:sz w:val="21"/>
                <w:szCs w:val="21"/>
                <w:shd w:val="clear" w:color="auto" w:fill="auto"/>
                <w:lang w:val="en-US" w:eastAsia="zh-CN"/>
              </w:rPr>
              <w:t>“</w:t>
            </w:r>
            <w:r>
              <w:rPr>
                <w:rFonts w:ascii="Segoe UI" w:hAnsi="Segoe UI" w:eastAsia="Segoe UI" w:cs="Segoe UI"/>
                <w:i w:val="0"/>
                <w:iCs w:val="0"/>
                <w:caps w:val="0"/>
                <w:spacing w:val="0"/>
                <w:sz w:val="21"/>
                <w:szCs w:val="21"/>
                <w:shd w:val="clear" w:color="auto" w:fill="auto"/>
              </w:rPr>
              <w:t>营业收入</w:t>
            </w:r>
            <w:r>
              <w:rPr>
                <w:rFonts w:hint="default" w:ascii="Segoe UI" w:hAnsi="Segoe UI" w:eastAsia="宋体" w:cs="Segoe UI"/>
                <w:i w:val="0"/>
                <w:iCs w:val="0"/>
                <w:caps w:val="0"/>
                <w:spacing w:val="0"/>
                <w:sz w:val="21"/>
                <w:szCs w:val="21"/>
                <w:shd w:val="clear" w:color="auto" w:fill="auto"/>
                <w:lang w:val="en-US" w:eastAsia="zh-CN"/>
              </w:rPr>
              <w:t>”</w:t>
            </w:r>
            <w:r>
              <w:rPr>
                <w:rFonts w:ascii="Segoe UI" w:hAnsi="Segoe UI" w:eastAsia="Segoe UI" w:cs="Segoe UI"/>
                <w:i w:val="0"/>
                <w:iCs w:val="0"/>
                <w:caps w:val="0"/>
                <w:spacing w:val="0"/>
                <w:sz w:val="21"/>
                <w:szCs w:val="21"/>
                <w:shd w:val="clear" w:color="auto" w:fill="auto"/>
              </w:rPr>
              <w:t xml:space="preserve">应大于等于“其中：境外服务收入” </w:t>
            </w:r>
            <w:r>
              <w:rPr>
                <w:rFonts w:hint="eastAsia" w:ascii="Segoe UI" w:hAnsi="Segoe UI" w:eastAsia="宋体" w:cs="Segoe UI"/>
                <w:i w:val="0"/>
                <w:iCs w:val="0"/>
                <w:caps w:val="0"/>
                <w:spacing w:val="0"/>
                <w:sz w:val="21"/>
                <w:szCs w:val="21"/>
                <w:shd w:val="clear" w:color="auto" w:fill="auto"/>
                <w:lang w:eastAsia="zh-CN"/>
              </w:rPr>
              <w:t>；</w:t>
            </w:r>
          </w:p>
          <w:p w14:paraId="3E5D6EE8">
            <w:pPr>
              <w:numPr>
                <w:ilvl w:val="0"/>
                <w:numId w:val="8"/>
              </w:numPr>
              <w:spacing w:line="276" w:lineRule="auto"/>
              <w:ind w:left="420" w:leftChars="0" w:hanging="420" w:firstLineChars="0"/>
              <w:rPr>
                <w:rFonts w:ascii="Times New Roman" w:hAnsi="Times New Roman" w:eastAsia="宋体" w:cs="Times New Roman"/>
                <w:szCs w:val="21"/>
                <w:shd w:val="clear" w:color="auto" w:fill="auto"/>
              </w:rPr>
            </w:pPr>
            <w:r>
              <w:rPr>
                <w:rFonts w:hint="default" w:ascii="Segoe UI" w:hAnsi="Segoe UI" w:eastAsia="宋体" w:cs="Segoe UI"/>
                <w:i w:val="0"/>
                <w:iCs w:val="0"/>
                <w:caps w:val="0"/>
                <w:spacing w:val="0"/>
                <w:sz w:val="21"/>
                <w:szCs w:val="21"/>
                <w:shd w:val="clear" w:color="auto" w:fill="auto"/>
                <w:lang w:val="en-US" w:eastAsia="zh-CN"/>
              </w:rPr>
              <w:t>“</w:t>
            </w:r>
            <w:r>
              <w:rPr>
                <w:rFonts w:ascii="Segoe UI" w:hAnsi="Segoe UI" w:eastAsia="Segoe UI" w:cs="Segoe UI"/>
                <w:i w:val="0"/>
                <w:iCs w:val="0"/>
                <w:caps w:val="0"/>
                <w:spacing w:val="0"/>
                <w:sz w:val="21"/>
                <w:szCs w:val="21"/>
                <w:shd w:val="clear" w:color="auto" w:fill="auto"/>
              </w:rPr>
              <w:t>营业收入</w:t>
            </w:r>
            <w:r>
              <w:rPr>
                <w:rFonts w:hint="default" w:ascii="Segoe UI" w:hAnsi="Segoe UI" w:eastAsia="宋体" w:cs="Segoe UI"/>
                <w:i w:val="0"/>
                <w:iCs w:val="0"/>
                <w:caps w:val="0"/>
                <w:spacing w:val="0"/>
                <w:sz w:val="21"/>
                <w:szCs w:val="21"/>
                <w:shd w:val="clear" w:color="auto" w:fill="auto"/>
                <w:lang w:val="en-US" w:eastAsia="zh-CN"/>
              </w:rPr>
              <w:t>”</w:t>
            </w:r>
            <w:r>
              <w:rPr>
                <w:rFonts w:ascii="Segoe UI" w:hAnsi="Segoe UI" w:eastAsia="Segoe UI" w:cs="Segoe UI"/>
                <w:i w:val="0"/>
                <w:iCs w:val="0"/>
                <w:caps w:val="0"/>
                <w:spacing w:val="0"/>
                <w:sz w:val="21"/>
                <w:szCs w:val="21"/>
                <w:shd w:val="clear" w:color="auto" w:fill="auto"/>
              </w:rPr>
              <w:t>应大于等于“通过公共网络实现的营业收入</w:t>
            </w:r>
            <w:r>
              <w:rPr>
                <w:rFonts w:hint="default" w:ascii="Segoe UI" w:hAnsi="Segoe UI" w:eastAsia="宋体" w:cs="Segoe UI"/>
                <w:i w:val="0"/>
                <w:iCs w:val="0"/>
                <w:caps w:val="0"/>
                <w:spacing w:val="0"/>
                <w:sz w:val="21"/>
                <w:szCs w:val="21"/>
                <w:shd w:val="clear" w:color="auto" w:fill="auto"/>
                <w:lang w:val="en-US" w:eastAsia="zh-CN"/>
              </w:rPr>
              <w:t>”</w:t>
            </w:r>
          </w:p>
        </w:tc>
        <w:tc>
          <w:tcPr>
            <w:tcW w:w="2955" w:type="dxa"/>
            <w:vAlign w:val="center"/>
          </w:tcPr>
          <w:p w14:paraId="57AF6F01">
            <w:pPr>
              <w:spacing w:line="276" w:lineRule="auto"/>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规下服务业</w:t>
            </w:r>
          </w:p>
        </w:tc>
      </w:tr>
      <w:tr w14:paraId="52CFA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5A9A4E07">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4</w:t>
            </w:r>
          </w:p>
        </w:tc>
        <w:tc>
          <w:tcPr>
            <w:tcW w:w="3105" w:type="dxa"/>
            <w:shd w:val="clear" w:color="auto" w:fill="auto"/>
            <w:vAlign w:val="center"/>
          </w:tcPr>
          <w:p w14:paraId="30A1092F">
            <w:pPr>
              <w:spacing w:line="276" w:lineRule="auto"/>
              <w:rPr>
                <w:rFonts w:hint="default" w:ascii="Times New Roman" w:hAnsi="Times New Roman" w:eastAsia="宋体" w:cs="Times New Roman"/>
                <w:szCs w:val="21"/>
                <w:shd w:val="clear" w:color="auto" w:fill="auto"/>
                <w:lang w:val="en-US"/>
              </w:rPr>
            </w:pPr>
            <w:r>
              <w:rPr>
                <w:rFonts w:ascii="Segoe UI" w:hAnsi="Segoe UI" w:eastAsia="Segoe UI" w:cs="Segoe UI"/>
                <w:i w:val="0"/>
                <w:iCs w:val="0"/>
                <w:caps w:val="0"/>
                <w:spacing w:val="0"/>
                <w:sz w:val="21"/>
                <w:szCs w:val="21"/>
                <w:shd w:val="clear" w:color="auto" w:fill="auto"/>
              </w:rPr>
              <w:t>财务账页</w:t>
            </w:r>
            <w:r>
              <w:rPr>
                <w:rFonts w:hint="eastAsia" w:ascii="Segoe UI" w:hAnsi="Segoe UI" w:eastAsia="宋体" w:cs="Segoe UI"/>
                <w:i w:val="0"/>
                <w:iCs w:val="0"/>
                <w:caps w:val="0"/>
                <w:spacing w:val="0"/>
                <w:sz w:val="21"/>
                <w:szCs w:val="21"/>
                <w:shd w:val="clear" w:color="auto" w:fill="auto"/>
                <w:lang w:val="en-US" w:eastAsia="zh-CN"/>
              </w:rPr>
              <w:t>增加企业信息</w:t>
            </w:r>
          </w:p>
        </w:tc>
        <w:tc>
          <w:tcPr>
            <w:tcW w:w="7170" w:type="dxa"/>
            <w:shd w:val="clear" w:color="auto" w:fill="auto"/>
            <w:vAlign w:val="center"/>
          </w:tcPr>
          <w:p w14:paraId="6BF9AB64">
            <w:pPr>
              <w:numPr>
                <w:ilvl w:val="0"/>
                <w:numId w:val="0"/>
              </w:numPr>
              <w:spacing w:line="276" w:lineRule="auto"/>
              <w:ind w:leftChars="0"/>
              <w:rPr>
                <w:rFonts w:ascii="Times New Roman" w:hAnsi="Times New Roman" w:eastAsia="宋体" w:cs="Times New Roman"/>
                <w:szCs w:val="21"/>
                <w:shd w:val="clear" w:color="auto" w:fill="auto"/>
              </w:rPr>
            </w:pPr>
            <w:r>
              <w:rPr>
                <w:rFonts w:ascii="Segoe UI" w:hAnsi="Segoe UI" w:eastAsia="Segoe UI" w:cs="Segoe UI"/>
                <w:b/>
                <w:bCs/>
                <w:i w:val="0"/>
                <w:iCs w:val="0"/>
                <w:caps w:val="0"/>
                <w:spacing w:val="0"/>
                <w:sz w:val="24"/>
                <w:szCs w:val="24"/>
                <w:shd w:val="clear" w:color="auto" w:fill="auto"/>
              </w:rPr>
              <w:t>在</w:t>
            </w:r>
            <w:r>
              <w:rPr>
                <w:rFonts w:hint="eastAsia" w:ascii="Segoe UI" w:hAnsi="Segoe UI" w:eastAsia="Segoe UI" w:cs="Segoe UI"/>
                <w:b/>
                <w:bCs/>
                <w:i w:val="0"/>
                <w:iCs w:val="0"/>
                <w:caps w:val="0"/>
                <w:spacing w:val="0"/>
                <w:sz w:val="24"/>
                <w:szCs w:val="24"/>
                <w:shd w:val="clear" w:color="auto" w:fill="auto"/>
                <w:lang w:val="en-US" w:eastAsia="zh-CN"/>
              </w:rPr>
              <w:t>财务账页</w:t>
            </w:r>
            <w:r>
              <w:rPr>
                <w:rFonts w:hint="eastAsia" w:ascii="Segoe UI" w:hAnsi="Segoe UI" w:eastAsia="宋体" w:cs="Segoe UI"/>
                <w:b/>
                <w:bCs/>
                <w:i w:val="0"/>
                <w:iCs w:val="0"/>
                <w:caps w:val="0"/>
                <w:spacing w:val="0"/>
                <w:sz w:val="24"/>
                <w:szCs w:val="24"/>
                <w:shd w:val="clear" w:color="auto" w:fill="auto"/>
                <w:lang w:val="en-US" w:eastAsia="zh-CN"/>
              </w:rPr>
              <w:t>台账、汇总表中</w:t>
            </w:r>
            <w:r>
              <w:rPr>
                <w:rFonts w:ascii="Segoe UI" w:hAnsi="Segoe UI" w:eastAsia="Segoe UI" w:cs="Segoe UI"/>
                <w:b/>
                <w:bCs/>
                <w:i w:val="0"/>
                <w:iCs w:val="0"/>
                <w:caps w:val="0"/>
                <w:spacing w:val="0"/>
                <w:sz w:val="24"/>
                <w:szCs w:val="24"/>
                <w:shd w:val="clear" w:color="auto" w:fill="auto"/>
              </w:rPr>
              <w:t>最后</w:t>
            </w:r>
            <w:r>
              <w:rPr>
                <w:rFonts w:hint="eastAsia" w:ascii="Segoe UI" w:hAnsi="Segoe UI" w:eastAsia="宋体" w:cs="Segoe UI"/>
                <w:b/>
                <w:bCs/>
                <w:i w:val="0"/>
                <w:iCs w:val="0"/>
                <w:caps w:val="0"/>
                <w:spacing w:val="0"/>
                <w:sz w:val="24"/>
                <w:szCs w:val="24"/>
                <w:shd w:val="clear" w:color="auto" w:fill="auto"/>
                <w:lang w:val="en-US" w:eastAsia="zh-CN"/>
              </w:rPr>
              <w:t>均</w:t>
            </w:r>
            <w:r>
              <w:rPr>
                <w:rFonts w:ascii="Segoe UI" w:hAnsi="Segoe UI" w:eastAsia="Segoe UI" w:cs="Segoe UI"/>
                <w:b/>
                <w:bCs/>
                <w:i w:val="0"/>
                <w:iCs w:val="0"/>
                <w:caps w:val="0"/>
                <w:spacing w:val="0"/>
                <w:sz w:val="24"/>
                <w:szCs w:val="24"/>
                <w:shd w:val="clear" w:color="auto" w:fill="auto"/>
              </w:rPr>
              <w:t>增加</w:t>
            </w:r>
            <w:r>
              <w:rPr>
                <w:rFonts w:hint="eastAsia" w:ascii="Segoe UI" w:hAnsi="Segoe UI" w:eastAsia="宋体" w:cs="Segoe UI"/>
                <w:b/>
                <w:bCs/>
                <w:i w:val="0"/>
                <w:iCs w:val="0"/>
                <w:caps w:val="0"/>
                <w:spacing w:val="0"/>
                <w:sz w:val="24"/>
                <w:szCs w:val="24"/>
                <w:shd w:val="clear" w:color="auto" w:fill="auto"/>
                <w:lang w:val="en-US" w:eastAsia="zh-CN"/>
              </w:rPr>
              <w:t>自动填充企业信息，</w:t>
            </w:r>
            <w:r>
              <w:rPr>
                <w:rFonts w:hint="eastAsia" w:ascii="Segoe UI" w:hAnsi="Segoe UI" w:eastAsia="宋体" w:cs="Segoe UI"/>
                <w:i w:val="0"/>
                <w:iCs w:val="0"/>
                <w:caps w:val="0"/>
                <w:spacing w:val="0"/>
                <w:sz w:val="21"/>
                <w:szCs w:val="21"/>
                <w:shd w:val="clear" w:color="auto" w:fill="auto"/>
                <w:lang w:eastAsia="zh-CN"/>
              </w:rPr>
              <w:t>：</w:t>
            </w:r>
          </w:p>
          <w:p w14:paraId="16248883">
            <w:pPr>
              <w:numPr>
                <w:ilvl w:val="0"/>
                <w:numId w:val="8"/>
              </w:numPr>
              <w:spacing w:line="276" w:lineRule="auto"/>
              <w:rPr>
                <w:rFonts w:ascii="Times New Roman" w:hAnsi="Times New Roman" w:eastAsia="宋体" w:cs="Times New Roman"/>
                <w:szCs w:val="21"/>
                <w:shd w:val="clear" w:color="auto" w:fill="auto"/>
              </w:rPr>
            </w:pPr>
            <w:r>
              <w:rPr>
                <w:rFonts w:ascii="Segoe UI" w:hAnsi="Segoe UI" w:eastAsia="Segoe UI" w:cs="Segoe UI"/>
                <w:i w:val="0"/>
                <w:iCs w:val="0"/>
                <w:caps w:val="0"/>
                <w:spacing w:val="0"/>
                <w:sz w:val="21"/>
                <w:szCs w:val="21"/>
                <w:shd w:val="clear" w:color="auto" w:fill="auto"/>
              </w:rPr>
              <w:t>统一社会信用代码</w:t>
            </w:r>
          </w:p>
          <w:p w14:paraId="0E929D32">
            <w:pPr>
              <w:numPr>
                <w:ilvl w:val="0"/>
                <w:numId w:val="8"/>
              </w:numPr>
              <w:spacing w:line="276" w:lineRule="auto"/>
              <w:rPr>
                <w:rFonts w:ascii="Times New Roman" w:hAnsi="Times New Roman" w:eastAsia="宋体" w:cs="Times New Roman"/>
                <w:szCs w:val="21"/>
                <w:shd w:val="clear" w:color="auto" w:fill="auto"/>
              </w:rPr>
            </w:pPr>
            <w:r>
              <w:rPr>
                <w:rFonts w:ascii="Segoe UI" w:hAnsi="Segoe UI" w:eastAsia="Segoe UI" w:cs="Segoe UI"/>
                <w:i w:val="0"/>
                <w:iCs w:val="0"/>
                <w:caps w:val="0"/>
                <w:spacing w:val="0"/>
                <w:sz w:val="21"/>
                <w:szCs w:val="21"/>
                <w:shd w:val="clear" w:color="auto" w:fill="auto"/>
              </w:rPr>
              <w:t>单位详细名称</w:t>
            </w:r>
          </w:p>
        </w:tc>
        <w:tc>
          <w:tcPr>
            <w:tcW w:w="2955" w:type="dxa"/>
            <w:shd w:val="clear" w:color="auto" w:fill="auto"/>
            <w:vAlign w:val="center"/>
          </w:tcPr>
          <w:p w14:paraId="574466DA">
            <w:pPr>
              <w:spacing w:line="276" w:lineRule="auto"/>
              <w:rPr>
                <w:rFonts w:ascii="Times New Roman" w:hAnsi="Times New Roman" w:eastAsia="宋体" w:cs="Times New Roman"/>
                <w:szCs w:val="21"/>
              </w:rPr>
            </w:pPr>
            <w:r>
              <w:rPr>
                <w:rFonts w:hint="eastAsia" w:ascii="Times New Roman" w:hAnsi="Times New Roman" w:eastAsia="宋体" w:cs="Times New Roman"/>
                <w:szCs w:val="21"/>
                <w:lang w:val="en-US" w:eastAsia="zh-CN"/>
              </w:rPr>
              <w:t>规下服务业</w:t>
            </w:r>
          </w:p>
        </w:tc>
      </w:tr>
      <w:tr w14:paraId="7B769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3C448852">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5</w:t>
            </w:r>
          </w:p>
        </w:tc>
        <w:tc>
          <w:tcPr>
            <w:tcW w:w="3105" w:type="dxa"/>
            <w:shd w:val="clear" w:color="auto" w:fill="auto"/>
            <w:vAlign w:val="center"/>
          </w:tcPr>
          <w:p w14:paraId="0AC26814">
            <w:pPr>
              <w:spacing w:line="276" w:lineRule="auto"/>
              <w:rPr>
                <w:rFonts w:hint="default" w:ascii="Times New Roman" w:hAnsi="Times New Roman" w:eastAsia="宋体" w:cs="Times New Roman"/>
                <w:szCs w:val="21"/>
                <w:shd w:val="clear" w:color="auto" w:fill="auto"/>
                <w:lang w:val="en-US"/>
              </w:rPr>
            </w:pPr>
            <w:r>
              <w:rPr>
                <w:rFonts w:ascii="Segoe UI" w:hAnsi="Segoe UI" w:eastAsia="Segoe UI" w:cs="Segoe UI"/>
                <w:i w:val="0"/>
                <w:iCs w:val="0"/>
                <w:caps w:val="0"/>
                <w:spacing w:val="0"/>
                <w:sz w:val="21"/>
                <w:szCs w:val="21"/>
                <w:shd w:val="clear" w:color="auto" w:fill="auto"/>
              </w:rPr>
              <w:t>财务账页</w:t>
            </w:r>
            <w:r>
              <w:rPr>
                <w:rFonts w:hint="eastAsia" w:ascii="Segoe UI" w:hAnsi="Segoe UI" w:eastAsia="宋体" w:cs="Segoe UI"/>
                <w:i w:val="0"/>
                <w:iCs w:val="0"/>
                <w:caps w:val="0"/>
                <w:spacing w:val="0"/>
                <w:sz w:val="21"/>
                <w:szCs w:val="21"/>
                <w:shd w:val="clear" w:color="auto" w:fill="auto"/>
                <w:lang w:val="en-US" w:eastAsia="zh-CN"/>
              </w:rPr>
              <w:t>增加指标列</w:t>
            </w:r>
          </w:p>
        </w:tc>
        <w:tc>
          <w:tcPr>
            <w:tcW w:w="7170" w:type="dxa"/>
            <w:shd w:val="clear" w:color="auto" w:fill="auto"/>
            <w:vAlign w:val="center"/>
          </w:tcPr>
          <w:p w14:paraId="1A2D0B06">
            <w:pPr>
              <w:numPr>
                <w:ilvl w:val="0"/>
                <w:numId w:val="0"/>
              </w:numPr>
              <w:spacing w:line="276" w:lineRule="auto"/>
              <w:ind w:leftChars="0"/>
              <w:rPr>
                <w:rFonts w:ascii="Times New Roman" w:hAnsi="Times New Roman" w:eastAsia="宋体" w:cs="Times New Roman"/>
                <w:szCs w:val="21"/>
                <w:shd w:val="clear" w:color="auto" w:fill="auto"/>
              </w:rPr>
            </w:pPr>
            <w:r>
              <w:rPr>
                <w:rFonts w:ascii="Segoe UI" w:hAnsi="Segoe UI" w:eastAsia="Segoe UI" w:cs="Segoe UI"/>
                <w:b/>
                <w:bCs/>
                <w:i w:val="0"/>
                <w:iCs w:val="0"/>
                <w:caps w:val="0"/>
                <w:spacing w:val="0"/>
                <w:sz w:val="24"/>
                <w:szCs w:val="24"/>
                <w:shd w:val="clear" w:color="auto" w:fill="auto"/>
              </w:rPr>
              <w:t>台账和汇总表模版中</w:t>
            </w:r>
            <w:r>
              <w:rPr>
                <w:rFonts w:hint="eastAsia" w:ascii="Segoe UI" w:hAnsi="Segoe UI" w:eastAsia="宋体" w:cs="Segoe UI"/>
                <w:i w:val="0"/>
                <w:iCs w:val="0"/>
                <w:caps w:val="0"/>
                <w:spacing w:val="0"/>
                <w:sz w:val="21"/>
                <w:szCs w:val="21"/>
                <w:shd w:val="clear" w:color="auto" w:fill="auto"/>
                <w:lang w:eastAsia="zh-CN"/>
              </w:rPr>
              <w:t>：</w:t>
            </w:r>
          </w:p>
          <w:p w14:paraId="36257F92">
            <w:pPr>
              <w:numPr>
                <w:ilvl w:val="0"/>
                <w:numId w:val="8"/>
              </w:numPr>
              <w:spacing w:line="276" w:lineRule="auto"/>
              <w:rPr>
                <w:rFonts w:ascii="Times New Roman" w:hAnsi="Times New Roman" w:eastAsia="宋体" w:cs="Times New Roman"/>
                <w:szCs w:val="21"/>
                <w:shd w:val="clear" w:color="auto" w:fill="auto"/>
              </w:rPr>
            </w:pPr>
            <w:r>
              <w:rPr>
                <w:rFonts w:ascii="Segoe UI" w:hAnsi="Segoe UI" w:eastAsia="Segoe UI" w:cs="Segoe UI"/>
                <w:i w:val="0"/>
                <w:iCs w:val="0"/>
                <w:caps w:val="0"/>
                <w:spacing w:val="0"/>
                <w:sz w:val="21"/>
                <w:szCs w:val="21"/>
                <w:shd w:val="clear" w:color="auto" w:fill="auto"/>
              </w:rPr>
              <w:t>增加上年同期列</w:t>
            </w:r>
          </w:p>
        </w:tc>
        <w:tc>
          <w:tcPr>
            <w:tcW w:w="2955" w:type="dxa"/>
            <w:shd w:val="clear" w:color="auto" w:fill="auto"/>
            <w:vAlign w:val="center"/>
          </w:tcPr>
          <w:p w14:paraId="44C7C9F6">
            <w:pPr>
              <w:spacing w:line="276" w:lineRule="auto"/>
              <w:rPr>
                <w:rFonts w:ascii="Times New Roman" w:hAnsi="Times New Roman" w:eastAsia="宋体" w:cs="Times New Roman"/>
                <w:szCs w:val="21"/>
              </w:rPr>
            </w:pPr>
            <w:r>
              <w:rPr>
                <w:rFonts w:hint="eastAsia" w:ascii="Times New Roman" w:hAnsi="Times New Roman" w:eastAsia="宋体" w:cs="Times New Roman"/>
                <w:szCs w:val="21"/>
                <w:lang w:val="en-US" w:eastAsia="zh-CN"/>
              </w:rPr>
              <w:t>规下服务业</w:t>
            </w:r>
          </w:p>
        </w:tc>
      </w:tr>
      <w:tr w14:paraId="02F22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61296886">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6</w:t>
            </w:r>
          </w:p>
        </w:tc>
        <w:tc>
          <w:tcPr>
            <w:tcW w:w="3105" w:type="dxa"/>
            <w:shd w:val="clear" w:color="auto" w:fill="auto"/>
            <w:vAlign w:val="center"/>
          </w:tcPr>
          <w:p w14:paraId="42CA13DC">
            <w:pPr>
              <w:spacing w:line="276" w:lineRule="auto"/>
              <w:rPr>
                <w:rFonts w:hint="default"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增加【劳动工资台账】一键生成表单功能</w:t>
            </w:r>
          </w:p>
        </w:tc>
        <w:tc>
          <w:tcPr>
            <w:tcW w:w="7170" w:type="dxa"/>
            <w:shd w:val="clear" w:color="auto" w:fill="auto"/>
            <w:vAlign w:val="center"/>
          </w:tcPr>
          <w:p w14:paraId="4803F9D5">
            <w:pPr>
              <w:numPr>
                <w:ilvl w:val="0"/>
                <w:numId w:val="0"/>
              </w:numPr>
              <w:spacing w:line="276" w:lineRule="auto"/>
              <w:ind w:leftChars="0"/>
              <w:rPr>
                <w:rFonts w:ascii="Times New Roman" w:hAnsi="Times New Roman" w:eastAsia="宋体" w:cs="Times New Roman"/>
                <w:szCs w:val="21"/>
                <w:shd w:val="clear" w:color="auto" w:fill="auto"/>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1522EEBC">
            <w:pPr>
              <w:numPr>
                <w:ilvl w:val="0"/>
                <w:numId w:val="8"/>
              </w:numPr>
              <w:spacing w:line="276" w:lineRule="auto"/>
              <w:ind w:left="420" w:leftChars="0" w:hanging="420" w:firstLineChars="0"/>
              <w:rPr>
                <w:rFonts w:ascii="Times New Roman" w:hAnsi="Times New Roman" w:eastAsia="宋体" w:cs="Times New Roman"/>
                <w:szCs w:val="21"/>
                <w:shd w:val="clear" w:color="auto" w:fill="auto"/>
              </w:rPr>
            </w:pPr>
            <w:r>
              <w:rPr>
                <w:rFonts w:hint="default" w:ascii="Times New Roman" w:hAnsi="Times New Roman" w:eastAsia="宋体" w:cs="Times New Roman"/>
                <w:szCs w:val="21"/>
                <w:shd w:val="clear" w:color="auto" w:fill="auto"/>
                <w:lang w:val="en-US" w:eastAsia="zh-CN"/>
              </w:rPr>
              <w:t>202-1表</w:t>
            </w:r>
            <w:r>
              <w:rPr>
                <w:rFonts w:hint="eastAsia" w:ascii="Times New Roman" w:hAnsi="Times New Roman" w:eastAsia="宋体" w:cs="Times New Roman"/>
                <w:szCs w:val="21"/>
                <w:shd w:val="clear" w:color="auto" w:fill="auto"/>
                <w:lang w:val="en-US" w:eastAsia="zh-CN"/>
              </w:rPr>
              <w:t>【</w:t>
            </w:r>
            <w:r>
              <w:rPr>
                <w:rFonts w:hint="default" w:ascii="Times New Roman" w:hAnsi="Times New Roman" w:eastAsia="宋体" w:cs="Times New Roman"/>
                <w:szCs w:val="21"/>
                <w:shd w:val="clear" w:color="auto" w:fill="auto"/>
                <w:lang w:val="en-US" w:eastAsia="zh-CN"/>
              </w:rPr>
              <w:t>从业人员及工资总额</w:t>
            </w:r>
            <w:r>
              <w:rPr>
                <w:rFonts w:hint="eastAsia" w:ascii="Times New Roman" w:hAnsi="Times New Roman" w:eastAsia="宋体" w:cs="Times New Roman"/>
                <w:szCs w:val="21"/>
                <w:shd w:val="clear" w:color="auto" w:fill="auto"/>
                <w:lang w:val="en-US" w:eastAsia="zh-CN"/>
              </w:rPr>
              <w:t>】</w:t>
            </w:r>
          </w:p>
        </w:tc>
        <w:tc>
          <w:tcPr>
            <w:tcW w:w="2955" w:type="dxa"/>
            <w:shd w:val="clear" w:color="auto" w:fill="auto"/>
            <w:vAlign w:val="center"/>
          </w:tcPr>
          <w:p w14:paraId="46894C24">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p>
          <w:p w14:paraId="2D42EED8">
            <w:pPr>
              <w:numPr>
                <w:ilvl w:val="0"/>
                <w:numId w:val="0"/>
              </w:numPr>
              <w:spacing w:line="276" w:lineRule="auto"/>
              <w:ind w:leftChars="0"/>
              <w:rPr>
                <w:rFonts w:hint="default" w:ascii="Times New Roman" w:hAnsi="Times New Roman" w:eastAsia="宋体" w:cs="Times New Roman"/>
                <w:szCs w:val="21"/>
                <w:lang w:val="en-US" w:eastAsia="zh-CN"/>
              </w:rPr>
            </w:pPr>
            <w:r>
              <w:rPr>
                <w:rFonts w:ascii="Times New Roman" w:hAnsi="Times New Roman" w:eastAsia="宋体" w:cs="Times New Roman"/>
                <w:szCs w:val="21"/>
              </w:rPr>
              <w:t>房地产开发业、限额以上批发和零售、限额以上住宿和餐饮、规上服务业</w:t>
            </w:r>
          </w:p>
        </w:tc>
      </w:tr>
      <w:tr w14:paraId="32465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5E55E966">
            <w:pPr>
              <w:spacing w:line="276" w:lineRule="auto"/>
              <w:jc w:val="center"/>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7</w:t>
            </w:r>
          </w:p>
        </w:tc>
        <w:tc>
          <w:tcPr>
            <w:tcW w:w="3105" w:type="dxa"/>
            <w:shd w:val="clear" w:color="auto" w:fill="auto"/>
            <w:vAlign w:val="center"/>
          </w:tcPr>
          <w:p w14:paraId="72986977">
            <w:pPr>
              <w:spacing w:line="276" w:lineRule="auto"/>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增加【工业能源购消存台账】一键生成表单功能</w:t>
            </w:r>
          </w:p>
        </w:tc>
        <w:tc>
          <w:tcPr>
            <w:tcW w:w="7170" w:type="dxa"/>
            <w:shd w:val="clear" w:color="auto" w:fill="auto"/>
            <w:vAlign w:val="center"/>
          </w:tcPr>
          <w:p w14:paraId="3FAB439C">
            <w:pPr>
              <w:numPr>
                <w:ilvl w:val="0"/>
                <w:numId w:val="0"/>
              </w:numPr>
              <w:spacing w:line="276" w:lineRule="auto"/>
              <w:ind w:leftChars="0"/>
              <w:rPr>
                <w:rFonts w:hint="eastAsia" w:ascii="Times New Roman" w:hAnsi="Times New Roman" w:eastAsia="宋体" w:cs="Times New Roman"/>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3BB61A0D">
            <w:pPr>
              <w:numPr>
                <w:ilvl w:val="0"/>
                <w:numId w:val="8"/>
              </w:numPr>
              <w:spacing w:line="276" w:lineRule="auto"/>
              <w:ind w:left="420" w:leftChars="0" w:hanging="420" w:firstLineChars="0"/>
              <w:rPr>
                <w:rFonts w:hint="default"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205-1表【能源购进、消费与库存】</w:t>
            </w:r>
          </w:p>
        </w:tc>
        <w:tc>
          <w:tcPr>
            <w:tcW w:w="2955" w:type="dxa"/>
            <w:shd w:val="clear" w:color="auto" w:fill="auto"/>
            <w:vAlign w:val="center"/>
          </w:tcPr>
          <w:p w14:paraId="7768270B">
            <w:pPr>
              <w:numPr>
                <w:ilvl w:val="0"/>
                <w:numId w:val="0"/>
              </w:numPr>
              <w:spacing w:line="276" w:lineRule="auto"/>
              <w:ind w:leftChars="0"/>
              <w:rPr>
                <w:rFonts w:hint="default" w:ascii="Times New Roman" w:hAnsi="Times New Roman" w:eastAsia="宋体" w:cs="Times New Roman"/>
                <w:szCs w:val="21"/>
                <w:lang w:val="en-US" w:eastAsia="zh-CN"/>
              </w:rPr>
            </w:pPr>
            <w:r>
              <w:rPr>
                <w:rFonts w:ascii="Times New Roman" w:hAnsi="Times New Roman" w:eastAsia="宋体" w:cs="Times New Roman"/>
                <w:szCs w:val="21"/>
              </w:rPr>
              <w:t>规上工业</w:t>
            </w:r>
          </w:p>
        </w:tc>
      </w:tr>
      <w:tr w14:paraId="67AC1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578B3B68">
            <w:pPr>
              <w:spacing w:line="276" w:lineRule="auto"/>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8</w:t>
            </w:r>
          </w:p>
        </w:tc>
        <w:tc>
          <w:tcPr>
            <w:tcW w:w="3105" w:type="dxa"/>
            <w:shd w:val="clear" w:color="auto" w:fill="auto"/>
            <w:vAlign w:val="center"/>
          </w:tcPr>
          <w:p w14:paraId="1979708D">
            <w:pPr>
              <w:spacing w:line="276" w:lineRule="auto"/>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增加【工业企业用水情况台账】一键生成表单功能</w:t>
            </w:r>
          </w:p>
        </w:tc>
        <w:tc>
          <w:tcPr>
            <w:tcW w:w="7170" w:type="dxa"/>
            <w:shd w:val="clear" w:color="auto" w:fill="auto"/>
            <w:vAlign w:val="center"/>
          </w:tcPr>
          <w:p w14:paraId="2E0D694B">
            <w:pPr>
              <w:numPr>
                <w:ilvl w:val="0"/>
                <w:numId w:val="0"/>
              </w:numPr>
              <w:spacing w:line="276" w:lineRule="auto"/>
              <w:ind w:leftChars="0"/>
              <w:rPr>
                <w:rFonts w:hint="eastAsia" w:ascii="Times New Roman" w:hAnsi="Times New Roman" w:eastAsia="宋体" w:cs="Times New Roman"/>
                <w:b w:val="0"/>
                <w:bCs w:val="0"/>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197785B1">
            <w:pPr>
              <w:numPr>
                <w:ilvl w:val="0"/>
                <w:numId w:val="8"/>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b w:val="0"/>
                <w:bCs w:val="0"/>
                <w:szCs w:val="21"/>
                <w:shd w:val="clear" w:color="auto" w:fill="auto"/>
                <w:lang w:val="en-US" w:eastAsia="zh-CN"/>
              </w:rPr>
              <w:t>205-4表【工业企业用水情况】</w:t>
            </w:r>
          </w:p>
        </w:tc>
        <w:tc>
          <w:tcPr>
            <w:tcW w:w="2955" w:type="dxa"/>
            <w:shd w:val="clear" w:color="auto" w:fill="auto"/>
            <w:vAlign w:val="center"/>
          </w:tcPr>
          <w:p w14:paraId="1C8E5E0E">
            <w:pPr>
              <w:numPr>
                <w:ilvl w:val="0"/>
                <w:numId w:val="0"/>
              </w:numPr>
              <w:spacing w:line="276" w:lineRule="auto"/>
              <w:ind w:leftChars="0"/>
              <w:rPr>
                <w:rFonts w:hint="default" w:ascii="Times New Roman" w:hAnsi="Times New Roman" w:eastAsia="宋体" w:cs="Times New Roman"/>
                <w:szCs w:val="21"/>
                <w:lang w:val="en-US" w:eastAsia="zh-CN"/>
              </w:rPr>
            </w:pPr>
            <w:r>
              <w:rPr>
                <w:rFonts w:ascii="Times New Roman" w:hAnsi="Times New Roman" w:eastAsia="宋体" w:cs="Times New Roman"/>
                <w:szCs w:val="21"/>
              </w:rPr>
              <w:t>规上工业</w:t>
            </w:r>
          </w:p>
        </w:tc>
      </w:tr>
      <w:tr w14:paraId="7FAD3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5A125A42">
            <w:pPr>
              <w:spacing w:line="276" w:lineRule="auto"/>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9</w:t>
            </w:r>
          </w:p>
        </w:tc>
        <w:tc>
          <w:tcPr>
            <w:tcW w:w="3105" w:type="dxa"/>
            <w:shd w:val="clear" w:color="auto" w:fill="auto"/>
            <w:vAlign w:val="center"/>
          </w:tcPr>
          <w:p w14:paraId="6A00FA9C">
            <w:pPr>
              <w:spacing w:line="276" w:lineRule="auto"/>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增加【非工业能源消费台账】一键生成表单功能</w:t>
            </w:r>
          </w:p>
        </w:tc>
        <w:tc>
          <w:tcPr>
            <w:tcW w:w="7170" w:type="dxa"/>
            <w:shd w:val="clear" w:color="auto" w:fill="auto"/>
            <w:vAlign w:val="center"/>
          </w:tcPr>
          <w:p w14:paraId="64A78FB3">
            <w:pPr>
              <w:numPr>
                <w:ilvl w:val="0"/>
                <w:numId w:val="0"/>
              </w:numPr>
              <w:spacing w:line="276" w:lineRule="auto"/>
              <w:ind w:leftChars="0"/>
              <w:rPr>
                <w:rFonts w:hint="default" w:ascii="Times New Roman" w:hAnsi="Times New Roman" w:eastAsia="宋体" w:cs="Times New Roman"/>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67DAF4DA">
            <w:pPr>
              <w:numPr>
                <w:ilvl w:val="0"/>
                <w:numId w:val="8"/>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default" w:ascii="Times New Roman" w:hAnsi="Times New Roman" w:eastAsia="宋体" w:cs="Times New Roman"/>
                <w:szCs w:val="21"/>
                <w:shd w:val="clear" w:color="auto" w:fill="auto"/>
                <w:lang w:val="en-US" w:eastAsia="zh-CN"/>
              </w:rPr>
              <w:t>205-5-2表</w:t>
            </w:r>
            <w:r>
              <w:rPr>
                <w:rFonts w:hint="eastAsia" w:ascii="Times New Roman" w:hAnsi="Times New Roman" w:eastAsia="宋体" w:cs="Times New Roman"/>
                <w:szCs w:val="21"/>
                <w:shd w:val="clear" w:color="auto" w:fill="auto"/>
                <w:lang w:val="en-US" w:eastAsia="zh-CN"/>
              </w:rPr>
              <w:t>【非工业能源季度消费情况】</w:t>
            </w:r>
          </w:p>
        </w:tc>
        <w:tc>
          <w:tcPr>
            <w:tcW w:w="2955" w:type="dxa"/>
            <w:shd w:val="clear" w:color="auto" w:fill="auto"/>
            <w:vAlign w:val="center"/>
          </w:tcPr>
          <w:p w14:paraId="012C6595">
            <w:pPr>
              <w:spacing w:line="276" w:lineRule="auto"/>
              <w:rPr>
                <w:rFonts w:hint="default" w:ascii="Times New Roman" w:hAnsi="Times New Roman" w:eastAsia="宋体" w:cs="Times New Roman"/>
                <w:szCs w:val="21"/>
                <w:lang w:val="en-US" w:eastAsia="zh-CN"/>
              </w:rPr>
            </w:pPr>
            <w:r>
              <w:rPr>
                <w:rFonts w:ascii="Times New Roman" w:hAnsi="Times New Roman" w:eastAsia="宋体" w:cs="Times New Roman"/>
                <w:szCs w:val="21"/>
              </w:rPr>
              <w:t>资质内建筑业、房地产开发业、限额以上批发和零售、限额以上住宿和餐饮、规上服务业</w:t>
            </w:r>
          </w:p>
        </w:tc>
      </w:tr>
      <w:tr w14:paraId="1B44E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67B08F3D">
            <w:pPr>
              <w:spacing w:line="276" w:lineRule="auto"/>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10</w:t>
            </w:r>
          </w:p>
        </w:tc>
        <w:tc>
          <w:tcPr>
            <w:tcW w:w="3105" w:type="dxa"/>
            <w:shd w:val="clear" w:color="auto" w:fill="auto"/>
            <w:vAlign w:val="center"/>
          </w:tcPr>
          <w:p w14:paraId="1BA7D1E9">
            <w:pPr>
              <w:spacing w:line="276" w:lineRule="auto"/>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增加【工业能源产销存台账】一键生成表单功能</w:t>
            </w:r>
          </w:p>
        </w:tc>
        <w:tc>
          <w:tcPr>
            <w:tcW w:w="7170" w:type="dxa"/>
            <w:shd w:val="clear" w:color="auto" w:fill="auto"/>
            <w:vAlign w:val="center"/>
          </w:tcPr>
          <w:p w14:paraId="7EE4D6A0">
            <w:pPr>
              <w:numPr>
                <w:ilvl w:val="0"/>
                <w:numId w:val="0"/>
              </w:numPr>
              <w:spacing w:line="276" w:lineRule="auto"/>
              <w:rPr>
                <w:rFonts w:hint="eastAsia" w:ascii="Times New Roman" w:hAnsi="Times New Roman" w:eastAsia="宋体" w:cs="Times New Roman"/>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5D7382C0">
            <w:pPr>
              <w:numPr>
                <w:ilvl w:val="0"/>
                <w:numId w:val="8"/>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205-6表【能源生产、销售与库存】</w:t>
            </w:r>
          </w:p>
        </w:tc>
        <w:tc>
          <w:tcPr>
            <w:tcW w:w="2955" w:type="dxa"/>
            <w:shd w:val="clear" w:color="auto" w:fill="auto"/>
            <w:vAlign w:val="center"/>
          </w:tcPr>
          <w:p w14:paraId="72A1B449">
            <w:pPr>
              <w:numPr>
                <w:ilvl w:val="0"/>
                <w:numId w:val="0"/>
              </w:numPr>
              <w:spacing w:line="276" w:lineRule="auto"/>
              <w:ind w:leftChars="0"/>
              <w:rPr>
                <w:rFonts w:hint="default" w:ascii="Times New Roman" w:hAnsi="Times New Roman" w:eastAsia="宋体" w:cs="Times New Roman"/>
                <w:szCs w:val="21"/>
                <w:lang w:val="en-US" w:eastAsia="zh-CN"/>
              </w:rPr>
            </w:pPr>
            <w:r>
              <w:rPr>
                <w:rFonts w:ascii="Times New Roman" w:hAnsi="Times New Roman" w:eastAsia="宋体" w:cs="Times New Roman"/>
                <w:szCs w:val="21"/>
              </w:rPr>
              <w:t>规上工业</w:t>
            </w:r>
          </w:p>
        </w:tc>
      </w:tr>
      <w:tr w14:paraId="0F9DB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7233B8E8">
            <w:pPr>
              <w:spacing w:line="276" w:lineRule="auto"/>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11</w:t>
            </w:r>
          </w:p>
        </w:tc>
        <w:tc>
          <w:tcPr>
            <w:tcW w:w="3105" w:type="dxa"/>
            <w:shd w:val="clear" w:color="auto" w:fill="auto"/>
            <w:vAlign w:val="center"/>
          </w:tcPr>
          <w:p w14:paraId="231EE78B">
            <w:pPr>
              <w:spacing w:line="276" w:lineRule="auto"/>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shd w:val="clear" w:color="auto" w:fill="auto"/>
                <w:lang w:val="en-US" w:eastAsia="zh-CN"/>
              </w:rPr>
              <w:t>增加【重点能源经销台账】一键生成表单功能</w:t>
            </w:r>
          </w:p>
        </w:tc>
        <w:tc>
          <w:tcPr>
            <w:tcW w:w="7170" w:type="dxa"/>
            <w:shd w:val="clear" w:color="auto" w:fill="auto"/>
            <w:vAlign w:val="center"/>
          </w:tcPr>
          <w:p w14:paraId="085070D6">
            <w:pPr>
              <w:numPr>
                <w:ilvl w:val="0"/>
                <w:numId w:val="0"/>
              </w:numPr>
              <w:spacing w:line="276" w:lineRule="auto"/>
              <w:rPr>
                <w:rFonts w:hint="eastAsia" w:ascii="Segoe UI" w:hAnsi="Segoe UI" w:eastAsia="Segoe UI" w:cs="Segoe UI"/>
                <w:b/>
                <w:bCs/>
                <w:i w:val="0"/>
                <w:iCs w:val="0"/>
                <w:caps w:val="0"/>
                <w:spacing w:val="0"/>
                <w:sz w:val="24"/>
                <w:szCs w:val="24"/>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p>
          <w:p w14:paraId="2BC5D3AB">
            <w:pPr>
              <w:numPr>
                <w:ilvl w:val="0"/>
                <w:numId w:val="8"/>
              </w:numPr>
              <w:spacing w:line="276" w:lineRule="auto"/>
              <w:ind w:left="420" w:leftChars="0" w:hanging="420" w:firstLineChars="0"/>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shd w:val="clear" w:color="auto" w:fill="auto"/>
                <w:lang w:val="en-US" w:eastAsia="zh-CN"/>
              </w:rPr>
              <w:t>205-7表【重点能源商品经销情况】</w:t>
            </w:r>
          </w:p>
        </w:tc>
        <w:tc>
          <w:tcPr>
            <w:tcW w:w="2955" w:type="dxa"/>
            <w:shd w:val="clear" w:color="auto" w:fill="auto"/>
            <w:vAlign w:val="center"/>
          </w:tcPr>
          <w:p w14:paraId="02EF8844">
            <w:pPr>
              <w:numPr>
                <w:ilvl w:val="0"/>
                <w:numId w:val="0"/>
              </w:numPr>
              <w:spacing w:line="276" w:lineRule="auto"/>
              <w:ind w:leftChars="0"/>
              <w:rPr>
                <w:rFonts w:hint="default" w:ascii="Times New Roman" w:hAnsi="Times New Roman" w:eastAsia="宋体" w:cs="Times New Roman"/>
                <w:szCs w:val="21"/>
                <w:lang w:val="en-US" w:eastAsia="zh-CN"/>
              </w:rPr>
            </w:pPr>
            <w:r>
              <w:rPr>
                <w:rFonts w:ascii="Times New Roman" w:hAnsi="Times New Roman" w:eastAsia="宋体" w:cs="Times New Roman"/>
                <w:szCs w:val="21"/>
              </w:rPr>
              <w:t>资质内建筑业、房地产开发业、限额以上批发和零售、限额以上住宿和餐饮、规上服务业</w:t>
            </w:r>
          </w:p>
        </w:tc>
      </w:tr>
      <w:tr w14:paraId="1CA40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shd w:val="clear" w:color="auto" w:fill="auto"/>
            <w:vAlign w:val="center"/>
          </w:tcPr>
          <w:p w14:paraId="071946D4">
            <w:pPr>
              <w:spacing w:line="276" w:lineRule="auto"/>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12</w:t>
            </w:r>
          </w:p>
        </w:tc>
        <w:tc>
          <w:tcPr>
            <w:tcW w:w="3105" w:type="dxa"/>
            <w:shd w:val="clear" w:color="auto" w:fill="auto"/>
            <w:vAlign w:val="center"/>
          </w:tcPr>
          <w:p w14:paraId="0FA5B9F2">
            <w:pPr>
              <w:spacing w:line="276" w:lineRule="auto"/>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shd w:val="clear" w:color="auto" w:fill="auto"/>
                <w:lang w:val="en-US" w:eastAsia="zh-CN"/>
              </w:rPr>
              <w:t>增加【固定资产投资账页】一键生成表单功能</w:t>
            </w:r>
          </w:p>
        </w:tc>
        <w:tc>
          <w:tcPr>
            <w:tcW w:w="7170" w:type="dxa"/>
            <w:shd w:val="clear" w:color="auto" w:fill="auto"/>
            <w:vAlign w:val="center"/>
          </w:tcPr>
          <w:p w14:paraId="1149868E">
            <w:pPr>
              <w:numPr>
                <w:ilvl w:val="0"/>
                <w:numId w:val="0"/>
              </w:numPr>
              <w:spacing w:line="276" w:lineRule="auto"/>
              <w:rPr>
                <w:rFonts w:hint="eastAsia" w:ascii="Times New Roman" w:hAnsi="Times New Roman" w:eastAsia="宋体" w:cs="Times New Roman"/>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0A1B0F68">
            <w:pPr>
              <w:numPr>
                <w:ilvl w:val="0"/>
                <w:numId w:val="8"/>
              </w:numPr>
              <w:spacing w:line="276" w:lineRule="auto"/>
              <w:ind w:left="420" w:leftChars="0" w:hanging="420" w:firstLineChars="0"/>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shd w:val="clear" w:color="auto" w:fill="auto"/>
                <w:lang w:val="en-US" w:eastAsia="zh-CN"/>
              </w:rPr>
              <w:t>206表【固定资产投资项目情况】</w:t>
            </w:r>
          </w:p>
        </w:tc>
        <w:tc>
          <w:tcPr>
            <w:tcW w:w="2955" w:type="dxa"/>
            <w:shd w:val="clear" w:color="auto" w:fill="auto"/>
            <w:vAlign w:val="center"/>
          </w:tcPr>
          <w:p w14:paraId="36AE019F">
            <w:pPr>
              <w:numPr>
                <w:ilvl w:val="0"/>
                <w:numId w:val="0"/>
              </w:numPr>
              <w:spacing w:line="276" w:lineRule="auto"/>
              <w:ind w:leftChars="0"/>
              <w:rPr>
                <w:rFonts w:hint="default" w:ascii="Times New Roman" w:hAnsi="Times New Roman" w:eastAsia="宋体" w:cs="Times New Roman"/>
                <w:szCs w:val="21"/>
                <w:lang w:val="en-US" w:eastAsia="zh-CN"/>
              </w:rPr>
            </w:pPr>
            <w:r>
              <w:rPr>
                <w:rFonts w:ascii="Times New Roman" w:hAnsi="Times New Roman" w:eastAsia="宋体" w:cs="Times New Roman"/>
                <w:szCs w:val="21"/>
              </w:rPr>
              <w:t>规上工业、资质内建筑业、</w:t>
            </w:r>
            <w:r>
              <w:rPr>
                <w:rFonts w:hint="eastAsia" w:ascii="Times New Roman" w:hAnsi="Times New Roman" w:eastAsia="宋体" w:cs="Times New Roman"/>
                <w:szCs w:val="21"/>
                <w:lang w:val="en-US" w:eastAsia="zh-CN"/>
              </w:rPr>
              <w:t>房地产开发业、</w:t>
            </w:r>
            <w:r>
              <w:rPr>
                <w:rFonts w:ascii="Times New Roman" w:hAnsi="Times New Roman" w:eastAsia="宋体" w:cs="Times New Roman"/>
                <w:szCs w:val="21"/>
              </w:rPr>
              <w:t>限额以上批发和零售、限额以上住宿和餐饮、规上服务业</w:t>
            </w:r>
          </w:p>
        </w:tc>
      </w:tr>
      <w:tr w14:paraId="069B5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shd w:val="clear" w:color="auto" w:fill="auto"/>
            <w:vAlign w:val="center"/>
          </w:tcPr>
          <w:p w14:paraId="2B94229B">
            <w:pPr>
              <w:spacing w:line="276" w:lineRule="auto"/>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13</w:t>
            </w:r>
          </w:p>
        </w:tc>
        <w:tc>
          <w:tcPr>
            <w:tcW w:w="3105" w:type="dxa"/>
            <w:shd w:val="clear" w:color="auto" w:fill="auto"/>
            <w:vAlign w:val="center"/>
          </w:tcPr>
          <w:p w14:paraId="34510977">
            <w:pPr>
              <w:spacing w:line="276" w:lineRule="auto"/>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shd w:val="clear" w:color="auto" w:fill="auto"/>
                <w:lang w:val="en-US" w:eastAsia="zh-CN"/>
              </w:rPr>
              <w:t>增加【财务账页】一键生成表单功能</w:t>
            </w:r>
          </w:p>
        </w:tc>
        <w:tc>
          <w:tcPr>
            <w:tcW w:w="7170" w:type="dxa"/>
            <w:shd w:val="clear" w:color="auto" w:fill="auto"/>
            <w:vAlign w:val="center"/>
          </w:tcPr>
          <w:p w14:paraId="0EA68B07">
            <w:pPr>
              <w:numPr>
                <w:ilvl w:val="0"/>
                <w:numId w:val="0"/>
              </w:numPr>
              <w:spacing w:line="276" w:lineRule="auto"/>
              <w:rPr>
                <w:rFonts w:hint="eastAsia" w:ascii="Times New Roman" w:hAnsi="Times New Roman" w:eastAsia="宋体" w:cs="Times New Roman"/>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4E9DCD08">
            <w:pPr>
              <w:numPr>
                <w:ilvl w:val="0"/>
                <w:numId w:val="8"/>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B203表【规上工业-财务状况】</w:t>
            </w:r>
          </w:p>
          <w:p w14:paraId="5387E043">
            <w:pPr>
              <w:numPr>
                <w:ilvl w:val="0"/>
                <w:numId w:val="9"/>
              </w:numPr>
              <w:spacing w:line="276" w:lineRule="auto"/>
              <w:ind w:left="0" w:leftChars="0" w:firstLine="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C203表【资质内建筑业-财务状况】</w:t>
            </w:r>
          </w:p>
          <w:p w14:paraId="41A7D7EA">
            <w:pPr>
              <w:numPr>
                <w:ilvl w:val="0"/>
                <w:numId w:val="9"/>
              </w:numPr>
              <w:spacing w:line="276" w:lineRule="auto"/>
              <w:ind w:left="0" w:leftChars="0" w:firstLine="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E203表【限上批发零售业-财务状况】</w:t>
            </w:r>
          </w:p>
          <w:p w14:paraId="3DB68C13">
            <w:pPr>
              <w:numPr>
                <w:ilvl w:val="0"/>
                <w:numId w:val="9"/>
              </w:numPr>
              <w:spacing w:line="276" w:lineRule="auto"/>
              <w:ind w:left="0" w:leftChars="0" w:firstLine="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F203表【规上服务业-财务状况】</w:t>
            </w:r>
          </w:p>
          <w:p w14:paraId="357EFA48">
            <w:pPr>
              <w:numPr>
                <w:ilvl w:val="0"/>
                <w:numId w:val="9"/>
              </w:numPr>
              <w:spacing w:line="276" w:lineRule="auto"/>
              <w:ind w:left="0" w:leftChars="0" w:firstLine="0" w:firstLineChars="0"/>
              <w:rPr>
                <w:rFonts w:hint="eastAsia" w:ascii="Times New Roman" w:hAnsi="Times New Roman" w:eastAsia="宋体" w:cs="Times New Roman"/>
                <w:szCs w:val="21"/>
                <w:lang w:val="en-US" w:eastAsia="zh-CN"/>
              </w:rPr>
            </w:pPr>
            <w:r>
              <w:rPr>
                <w:rFonts w:hint="eastAsia" w:ascii="Times New Roman" w:hAnsi="Times New Roman" w:eastAsia="宋体" w:cs="Times New Roman"/>
                <w:szCs w:val="21"/>
                <w:shd w:val="clear" w:color="auto" w:fill="auto"/>
                <w:lang w:val="en-US" w:eastAsia="zh-CN"/>
              </w:rPr>
              <w:t>S203表【限上住宿餐饮业-财务状况】</w:t>
            </w:r>
          </w:p>
        </w:tc>
        <w:tc>
          <w:tcPr>
            <w:tcW w:w="2955" w:type="dxa"/>
            <w:shd w:val="clear" w:color="auto" w:fill="auto"/>
            <w:vAlign w:val="center"/>
          </w:tcPr>
          <w:p w14:paraId="227FE8A6">
            <w:pPr>
              <w:numPr>
                <w:ilvl w:val="0"/>
                <w:numId w:val="0"/>
              </w:numPr>
              <w:spacing w:line="276" w:lineRule="auto"/>
              <w:ind w:leftChars="0"/>
              <w:rPr>
                <w:rFonts w:hint="default" w:ascii="Times New Roman" w:hAnsi="Times New Roman" w:eastAsia="宋体" w:cs="Times New Roman"/>
                <w:szCs w:val="21"/>
                <w:lang w:val="en-US" w:eastAsia="zh-CN"/>
              </w:rPr>
            </w:pPr>
            <w:r>
              <w:rPr>
                <w:rFonts w:ascii="Times New Roman" w:hAnsi="Times New Roman" w:eastAsia="宋体" w:cs="Times New Roman"/>
                <w:szCs w:val="21"/>
              </w:rPr>
              <w:t>规上工业、资质内建筑业、限额以上批发和零售、限额以上住宿和餐饮、规上服务业</w:t>
            </w:r>
          </w:p>
        </w:tc>
      </w:tr>
      <w:tr w14:paraId="238A9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shd w:val="clear" w:color="auto" w:fill="auto"/>
            <w:vAlign w:val="center"/>
          </w:tcPr>
          <w:p w14:paraId="512F5531">
            <w:pPr>
              <w:spacing w:line="276" w:lineRule="auto"/>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14</w:t>
            </w:r>
          </w:p>
        </w:tc>
        <w:tc>
          <w:tcPr>
            <w:tcW w:w="3105" w:type="dxa"/>
            <w:shd w:val="clear" w:color="auto" w:fill="auto"/>
            <w:vAlign w:val="center"/>
          </w:tcPr>
          <w:p w14:paraId="66575323">
            <w:pPr>
              <w:spacing w:line="276" w:lineRule="auto"/>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shd w:val="clear" w:color="auto" w:fill="auto"/>
                <w:lang w:val="en-US" w:eastAsia="zh-CN"/>
              </w:rPr>
              <w:t>增加【生产经营账页】一键生成表单功能</w:t>
            </w:r>
          </w:p>
        </w:tc>
        <w:tc>
          <w:tcPr>
            <w:tcW w:w="7170" w:type="dxa"/>
            <w:shd w:val="clear" w:color="auto" w:fill="auto"/>
            <w:vAlign w:val="center"/>
          </w:tcPr>
          <w:p w14:paraId="4528DF4E">
            <w:pPr>
              <w:numPr>
                <w:ilvl w:val="0"/>
                <w:numId w:val="0"/>
              </w:numPr>
              <w:spacing w:line="276" w:lineRule="auto"/>
              <w:rPr>
                <w:rFonts w:hint="eastAsia" w:ascii="Times New Roman" w:hAnsi="Times New Roman" w:eastAsia="宋体" w:cs="Times New Roman"/>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39735213">
            <w:pPr>
              <w:numPr>
                <w:ilvl w:val="0"/>
                <w:numId w:val="9"/>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C204-1表【建筑业企业生产经营情况】</w:t>
            </w:r>
          </w:p>
          <w:p w14:paraId="77D9745A">
            <w:pPr>
              <w:numPr>
                <w:ilvl w:val="0"/>
                <w:numId w:val="9"/>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C204-2表【房屋竣工面积及价值】</w:t>
            </w:r>
          </w:p>
          <w:p w14:paraId="6B27F5D2">
            <w:pPr>
              <w:numPr>
                <w:ilvl w:val="0"/>
                <w:numId w:val="9"/>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E204-2表【重要商品购进、销售和库存】</w:t>
            </w:r>
          </w:p>
        </w:tc>
        <w:tc>
          <w:tcPr>
            <w:tcW w:w="2955" w:type="dxa"/>
            <w:shd w:val="clear" w:color="auto" w:fill="auto"/>
            <w:vAlign w:val="center"/>
          </w:tcPr>
          <w:p w14:paraId="7E417D61">
            <w:pPr>
              <w:numPr>
                <w:ilvl w:val="0"/>
                <w:numId w:val="0"/>
              </w:numPr>
              <w:spacing w:line="276" w:lineRule="auto"/>
              <w:ind w:leftChars="0"/>
              <w:rPr>
                <w:rFonts w:hint="eastAsia" w:ascii="Times New Roman" w:hAnsi="Times New Roman" w:eastAsia="宋体" w:cs="Times New Roman"/>
                <w:szCs w:val="21"/>
                <w:lang w:val="en-US" w:eastAsia="zh-CN"/>
              </w:rPr>
            </w:pPr>
            <w:r>
              <w:rPr>
                <w:rFonts w:ascii="Times New Roman" w:hAnsi="Times New Roman" w:eastAsia="宋体" w:cs="Times New Roman"/>
                <w:szCs w:val="21"/>
              </w:rPr>
              <w:t>资质内建筑业</w:t>
            </w:r>
            <w:r>
              <w:rPr>
                <w:rFonts w:hint="eastAsia" w:ascii="Times New Roman" w:hAnsi="Times New Roman" w:eastAsia="宋体" w:cs="Times New Roman"/>
                <w:szCs w:val="21"/>
                <w:lang w:eastAsia="zh-CN"/>
              </w:rPr>
              <w:t>、</w:t>
            </w:r>
            <w:r>
              <w:rPr>
                <w:rFonts w:ascii="Times New Roman" w:hAnsi="Times New Roman" w:eastAsia="宋体" w:cs="Times New Roman"/>
                <w:szCs w:val="21"/>
              </w:rPr>
              <w:t>限额以上批发和零售</w:t>
            </w:r>
          </w:p>
        </w:tc>
      </w:tr>
      <w:tr w14:paraId="13847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shd w:val="clear" w:color="auto" w:fill="auto"/>
            <w:vAlign w:val="center"/>
          </w:tcPr>
          <w:p w14:paraId="2C4522DA">
            <w:pPr>
              <w:spacing w:line="276" w:lineRule="auto"/>
              <w:jc w:val="center"/>
              <w:rPr>
                <w:rFonts w:hint="default"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lang w:val="en-US" w:eastAsia="zh-CN"/>
              </w:rPr>
              <w:t>15</w:t>
            </w:r>
          </w:p>
        </w:tc>
        <w:tc>
          <w:tcPr>
            <w:tcW w:w="3105" w:type="dxa"/>
            <w:shd w:val="clear" w:color="auto" w:fill="auto"/>
            <w:vAlign w:val="center"/>
          </w:tcPr>
          <w:p w14:paraId="7CB4F882">
            <w:pPr>
              <w:spacing w:line="276" w:lineRule="auto"/>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szCs w:val="21"/>
                <w:shd w:val="clear" w:color="auto" w:fill="auto"/>
                <w:lang w:val="en-US" w:eastAsia="zh-CN"/>
              </w:rPr>
              <w:t>增加【开发建设情况账页】一键生成表单功能</w:t>
            </w:r>
          </w:p>
        </w:tc>
        <w:tc>
          <w:tcPr>
            <w:tcW w:w="7170" w:type="dxa"/>
            <w:shd w:val="clear" w:color="auto" w:fill="auto"/>
            <w:vAlign w:val="center"/>
          </w:tcPr>
          <w:p w14:paraId="09EEDF58">
            <w:pPr>
              <w:numPr>
                <w:ilvl w:val="0"/>
                <w:numId w:val="0"/>
              </w:numPr>
              <w:spacing w:line="276" w:lineRule="auto"/>
              <w:ind w:leftChars="0"/>
              <w:rPr>
                <w:rFonts w:hint="eastAsia" w:ascii="Times New Roman" w:hAnsi="Times New Roman" w:eastAsia="宋体" w:cs="Times New Roman"/>
                <w:szCs w:val="21"/>
                <w:shd w:val="clear" w:color="auto" w:fill="auto"/>
                <w:lang w:val="en-US" w:eastAsia="zh-CN"/>
              </w:rPr>
            </w:pPr>
            <w:r>
              <w:rPr>
                <w:rFonts w:hint="eastAsia" w:ascii="Segoe UI" w:hAnsi="Segoe UI" w:eastAsia="Segoe UI" w:cs="Segoe UI"/>
                <w:b/>
                <w:bCs/>
                <w:i w:val="0"/>
                <w:iCs w:val="0"/>
                <w:caps w:val="0"/>
                <w:spacing w:val="0"/>
                <w:sz w:val="24"/>
                <w:szCs w:val="24"/>
                <w:shd w:val="clear" w:color="auto" w:fill="auto"/>
                <w:lang w:val="en-US" w:eastAsia="zh-CN"/>
              </w:rPr>
              <w:t>支持生成的汇总表导入网联直报平台</w:t>
            </w:r>
            <w:r>
              <w:rPr>
                <w:rFonts w:hint="eastAsia" w:ascii="Times New Roman" w:hAnsi="Times New Roman" w:eastAsia="宋体" w:cs="Times New Roman"/>
                <w:szCs w:val="21"/>
                <w:shd w:val="clear" w:color="auto" w:fill="auto"/>
                <w:lang w:val="en-US" w:eastAsia="zh-CN"/>
              </w:rPr>
              <w:t>：</w:t>
            </w:r>
          </w:p>
          <w:p w14:paraId="5CDC4605">
            <w:pPr>
              <w:numPr>
                <w:ilvl w:val="0"/>
                <w:numId w:val="9"/>
              </w:numPr>
              <w:spacing w:line="276" w:lineRule="auto"/>
              <w:ind w:left="420" w:leftChars="0" w:hanging="420" w:firstLineChars="0"/>
              <w:rPr>
                <w:rFonts w:hint="eastAsia" w:ascii="Times New Roman" w:hAnsi="Times New Roman" w:eastAsia="宋体" w:cs="Times New Roman"/>
                <w:szCs w:val="21"/>
                <w:shd w:val="clear" w:color="auto" w:fill="auto"/>
                <w:lang w:val="en-US" w:eastAsia="zh-CN"/>
              </w:rPr>
            </w:pPr>
            <w:r>
              <w:rPr>
                <w:rFonts w:hint="eastAsia" w:ascii="Times New Roman" w:hAnsi="Times New Roman" w:eastAsia="宋体" w:cs="Times New Roman"/>
                <w:szCs w:val="21"/>
                <w:shd w:val="clear" w:color="auto" w:fill="auto"/>
                <w:lang w:val="en-US" w:eastAsia="zh-CN"/>
              </w:rPr>
              <w:t>X204-1表【房地产开发项目经营情况】</w:t>
            </w:r>
          </w:p>
        </w:tc>
        <w:tc>
          <w:tcPr>
            <w:tcW w:w="2955" w:type="dxa"/>
            <w:shd w:val="clear" w:color="auto" w:fill="auto"/>
            <w:vAlign w:val="center"/>
          </w:tcPr>
          <w:p w14:paraId="54353806">
            <w:pPr>
              <w:numPr>
                <w:ilvl w:val="0"/>
                <w:numId w:val="0"/>
              </w:numPr>
              <w:spacing w:line="276" w:lineRule="auto"/>
              <w:ind w:leftChars="0"/>
              <w:rPr>
                <w:rFonts w:ascii="Times New Roman" w:hAnsi="Times New Roman" w:eastAsia="宋体" w:cs="Times New Roman"/>
                <w:szCs w:val="21"/>
              </w:rPr>
            </w:pPr>
            <w:r>
              <w:rPr>
                <w:rFonts w:ascii="Times New Roman" w:hAnsi="Times New Roman" w:eastAsia="宋体" w:cs="Times New Roman"/>
                <w:szCs w:val="21"/>
              </w:rPr>
              <w:t>房地产开发业</w:t>
            </w:r>
          </w:p>
        </w:tc>
      </w:tr>
    </w:tbl>
    <w:p w14:paraId="25543C65">
      <w:pPr>
        <w:pStyle w:val="3"/>
        <w:bidi w:val="0"/>
      </w:pPr>
      <w:r>
        <w:rPr>
          <w:rFonts w:hint="eastAsia"/>
          <w:lang w:val="en-US" w:eastAsia="zh-CN"/>
        </w:rPr>
        <w:t>二、</w:t>
      </w:r>
      <w:r>
        <w:t>修复、优化清单</w:t>
      </w:r>
    </w:p>
    <w:p w14:paraId="12C8FB8B">
      <w:pPr>
        <w:numPr>
          <w:ilvl w:val="0"/>
          <w:numId w:val="4"/>
        </w:numPr>
        <w:ind w:left="558" w:hanging="558"/>
        <w:jc w:val="left"/>
        <w:rPr>
          <w:rFonts w:ascii="Times New Roman" w:hAnsi="Times New Roman" w:eastAsia="宋体" w:cs="Times New Roman"/>
          <w:sz w:val="28"/>
        </w:rPr>
      </w:pPr>
      <w:r>
        <w:rPr>
          <w:rFonts w:hint="eastAsia" w:ascii="Times New Roman" w:hAnsi="Times New Roman" w:eastAsia="宋体" w:cs="Times New Roman"/>
          <w:sz w:val="28"/>
          <w:lang w:val="en-US" w:eastAsia="zh-CN"/>
        </w:rPr>
        <w:t>规上工业-工业能源购销存账页：</w:t>
      </w:r>
    </w:p>
    <w:p w14:paraId="1CC20045">
      <w:pPr>
        <w:numPr>
          <w:ilvl w:val="0"/>
          <w:numId w:val="10"/>
        </w:numPr>
        <w:ind w:left="840" w:leftChars="0" w:hanging="420" w:firstLineChars="0"/>
        <w:jc w:val="left"/>
        <w:rPr>
          <w:rFonts w:ascii="Times New Roman" w:hAnsi="Times New Roman" w:eastAsia="宋体" w:cs="Times New Roman"/>
          <w:sz w:val="28"/>
        </w:rPr>
      </w:pPr>
      <w:r>
        <w:rPr>
          <w:rFonts w:hint="eastAsia" w:ascii="Times New Roman" w:hAnsi="Times New Roman" w:eastAsia="宋体" w:cs="Times New Roman"/>
          <w:sz w:val="28"/>
          <w:lang w:val="en-US" w:eastAsia="zh-CN"/>
        </w:rPr>
        <w:t>修复了因</w:t>
      </w:r>
      <w:r>
        <w:rPr>
          <w:rFonts w:hint="eastAsia" w:ascii="Times New Roman" w:hAnsi="Times New Roman" w:eastAsia="宋体" w:cs="Times New Roman"/>
          <w:sz w:val="28"/>
        </w:rPr>
        <w:t>工业能源购销存</w:t>
      </w:r>
      <w:r>
        <w:rPr>
          <w:rFonts w:hint="eastAsia" w:ascii="Times New Roman" w:hAnsi="Times New Roman" w:eastAsia="宋体" w:cs="Times New Roman"/>
          <w:sz w:val="28"/>
          <w:lang w:eastAsia="zh-CN"/>
        </w:rPr>
        <w:t>“</w:t>
      </w:r>
      <w:r>
        <w:rPr>
          <w:rFonts w:hint="eastAsia" w:ascii="Times New Roman" w:hAnsi="Times New Roman" w:eastAsia="宋体" w:cs="Times New Roman"/>
          <w:sz w:val="28"/>
        </w:rPr>
        <w:t>期末库存量</w:t>
      </w:r>
      <w:r>
        <w:rPr>
          <w:rFonts w:hint="eastAsia" w:ascii="Times New Roman" w:hAnsi="Times New Roman" w:eastAsia="宋体" w:cs="Times New Roman"/>
          <w:sz w:val="28"/>
          <w:lang w:eastAsia="zh-CN"/>
        </w:rPr>
        <w:t>”</w:t>
      </w:r>
      <w:r>
        <w:rPr>
          <w:rFonts w:hint="eastAsia" w:ascii="Times New Roman" w:hAnsi="Times New Roman" w:eastAsia="宋体" w:cs="Times New Roman"/>
          <w:sz w:val="28"/>
        </w:rPr>
        <w:t>为空</w:t>
      </w:r>
      <w:r>
        <w:rPr>
          <w:rFonts w:hint="eastAsia" w:ascii="Times New Roman" w:hAnsi="Times New Roman" w:eastAsia="宋体" w:cs="Times New Roman"/>
          <w:sz w:val="28"/>
          <w:lang w:eastAsia="zh-CN"/>
        </w:rPr>
        <w:t>，</w:t>
      </w:r>
      <w:r>
        <w:rPr>
          <w:rFonts w:hint="eastAsia" w:ascii="Times New Roman" w:hAnsi="Times New Roman" w:eastAsia="宋体" w:cs="Times New Roman"/>
          <w:sz w:val="28"/>
          <w:lang w:val="en-US" w:eastAsia="zh-CN"/>
        </w:rPr>
        <w:t>导致</w:t>
      </w:r>
      <w:r>
        <w:rPr>
          <w:rFonts w:hint="eastAsia" w:ascii="Times New Roman" w:hAnsi="Times New Roman" w:eastAsia="宋体" w:cs="Times New Roman"/>
          <w:sz w:val="28"/>
        </w:rPr>
        <w:t>汇总表汇总失败</w:t>
      </w:r>
      <w:r>
        <w:rPr>
          <w:rFonts w:hint="eastAsia" w:ascii="Times New Roman" w:hAnsi="Times New Roman" w:eastAsia="宋体" w:cs="Times New Roman"/>
          <w:sz w:val="28"/>
          <w:lang w:val="en-US" w:eastAsia="zh-CN"/>
        </w:rPr>
        <w:t>的问题；</w:t>
      </w:r>
    </w:p>
    <w:p w14:paraId="2FAB57C2">
      <w:pPr>
        <w:numPr>
          <w:ilvl w:val="0"/>
          <w:numId w:val="4"/>
        </w:numPr>
        <w:ind w:left="558" w:hanging="558"/>
        <w:jc w:val="left"/>
        <w:rPr>
          <w:rFonts w:ascii="Times New Roman" w:hAnsi="Times New Roman" w:eastAsia="宋体" w:cs="Times New Roman"/>
          <w:sz w:val="28"/>
        </w:rPr>
      </w:pPr>
      <w:r>
        <w:rPr>
          <w:rFonts w:hint="eastAsia" w:ascii="Times New Roman" w:hAnsi="Times New Roman" w:eastAsia="宋体" w:cs="Times New Roman"/>
          <w:sz w:val="28"/>
          <w:lang w:val="en-US" w:eastAsia="zh-CN"/>
        </w:rPr>
        <w:t>限额以上批发零售业-生产经营账页：</w:t>
      </w:r>
    </w:p>
    <w:p w14:paraId="6909CC5A">
      <w:pPr>
        <w:numPr>
          <w:ilvl w:val="0"/>
          <w:numId w:val="11"/>
        </w:numPr>
        <w:ind w:left="840" w:leftChars="0" w:hanging="420" w:firstLineChars="0"/>
        <w:jc w:val="left"/>
        <w:rPr>
          <w:rFonts w:hint="default"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修复了实体批发额1-本月合计，计算不准确问题；</w:t>
      </w:r>
    </w:p>
    <w:p w14:paraId="2A499847">
      <w:pPr>
        <w:numPr>
          <w:ilvl w:val="0"/>
          <w:numId w:val="11"/>
        </w:numPr>
        <w:ind w:left="840" w:leftChars="0" w:hanging="420" w:firstLineChars="0"/>
        <w:jc w:val="left"/>
        <w:rPr>
          <w:rFonts w:hint="default"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扩充了实体零售额本月合计的汇总范围；</w:t>
      </w:r>
    </w:p>
    <w:p w14:paraId="56D82566">
      <w:pPr>
        <w:numPr>
          <w:ilvl w:val="0"/>
          <w:numId w:val="4"/>
        </w:numPr>
        <w:ind w:left="558" w:hanging="558"/>
        <w:jc w:val="left"/>
        <w:rPr>
          <w:rFonts w:ascii="Times New Roman" w:hAnsi="Times New Roman" w:eastAsia="宋体" w:cs="Times New Roman"/>
          <w:sz w:val="28"/>
        </w:rPr>
      </w:pPr>
      <w:r>
        <w:rPr>
          <w:rFonts w:hint="eastAsia" w:ascii="Times New Roman" w:hAnsi="Times New Roman" w:eastAsia="宋体" w:cs="Times New Roman"/>
          <w:sz w:val="28"/>
        </w:rPr>
        <w:t>规下服务业</w:t>
      </w:r>
      <w:r>
        <w:rPr>
          <w:rFonts w:hint="eastAsia" w:ascii="Times New Roman" w:hAnsi="Times New Roman" w:eastAsia="宋体" w:cs="Times New Roman"/>
          <w:sz w:val="28"/>
          <w:lang w:val="en-US" w:eastAsia="zh-CN"/>
        </w:rPr>
        <w:t>-财务账页指标展示、字体优化：</w:t>
      </w:r>
    </w:p>
    <w:p w14:paraId="14D174DE">
      <w:pPr>
        <w:numPr>
          <w:ilvl w:val="0"/>
          <w:numId w:val="12"/>
        </w:numPr>
        <w:ind w:left="840" w:leftChars="0" w:hanging="420" w:firstLineChars="0"/>
        <w:jc w:val="both"/>
        <w:rPr>
          <w:rFonts w:ascii="Times New Roman" w:hAnsi="Times New Roman" w:eastAsia="宋体" w:cs="Times New Roman"/>
          <w:sz w:val="28"/>
        </w:rPr>
      </w:pPr>
      <w:r>
        <w:rPr>
          <w:rFonts w:hint="eastAsia" w:ascii="Times New Roman" w:hAnsi="Times New Roman" w:eastAsia="宋体" w:cs="Times New Roman"/>
          <w:sz w:val="28"/>
          <w:lang w:val="en-US" w:eastAsia="zh-CN"/>
        </w:rPr>
        <w:t>优化了营业收入、平均人数指标的标准对齐方式、统一字体；</w:t>
      </w:r>
    </w:p>
    <w:p w14:paraId="075E5852">
      <w:pPr>
        <w:numPr>
          <w:ilvl w:val="0"/>
          <w:numId w:val="4"/>
        </w:numPr>
        <w:ind w:left="558" w:hanging="558"/>
        <w:jc w:val="left"/>
        <w:rPr>
          <w:rFonts w:ascii="Times New Roman" w:hAnsi="Times New Roman" w:eastAsia="宋体" w:cs="Times New Roman"/>
          <w:sz w:val="28"/>
        </w:rPr>
      </w:pPr>
      <w:r>
        <w:rPr>
          <w:rFonts w:hint="eastAsia" w:ascii="Times New Roman" w:hAnsi="Times New Roman" w:eastAsia="宋体" w:cs="Times New Roman"/>
          <w:sz w:val="28"/>
        </w:rPr>
        <w:t>规上服务业</w:t>
      </w:r>
      <w:r>
        <w:rPr>
          <w:rFonts w:hint="eastAsia" w:ascii="Times New Roman" w:hAnsi="Times New Roman" w:eastAsia="宋体" w:cs="Times New Roman"/>
          <w:sz w:val="28"/>
          <w:lang w:val="en-US" w:eastAsia="zh-CN"/>
        </w:rPr>
        <w:t>-财务账页：</w:t>
      </w:r>
    </w:p>
    <w:p w14:paraId="6EBA5C7A">
      <w:pPr>
        <w:numPr>
          <w:ilvl w:val="0"/>
          <w:numId w:val="12"/>
        </w:numPr>
        <w:jc w:val="left"/>
        <w:rPr>
          <w:rFonts w:ascii="Times New Roman" w:hAnsi="Times New Roman" w:eastAsia="宋体" w:cs="Times New Roman"/>
          <w:sz w:val="28"/>
        </w:rPr>
      </w:pPr>
      <w:r>
        <w:rPr>
          <w:rFonts w:hint="eastAsia" w:ascii="Times New Roman" w:hAnsi="Times New Roman" w:eastAsia="宋体" w:cs="Times New Roman"/>
          <w:sz w:val="28"/>
          <w:lang w:val="en-US" w:eastAsia="zh-CN"/>
        </w:rPr>
        <w:t>更新了【应付职工薪酬账页】、【净服务收入台账】的填报期别为2月~12月</w:t>
      </w:r>
      <w:r>
        <w:rPr>
          <w:rFonts w:ascii="Times New Roman" w:hAnsi="Times New Roman" w:eastAsia="宋体" w:cs="Times New Roman"/>
          <w:sz w:val="28"/>
        </w:rPr>
        <w:t>；</w:t>
      </w:r>
    </w:p>
    <w:p w14:paraId="58E25ABA">
      <w:pPr>
        <w:numPr>
          <w:ilvl w:val="0"/>
          <w:numId w:val="12"/>
        </w:numPr>
        <w:ind w:left="840" w:leftChars="0" w:hanging="420" w:firstLineChars="0"/>
        <w:jc w:val="both"/>
        <w:rPr>
          <w:rFonts w:hint="eastAsia"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优化了【净服务收入台账】指标的完整展示、统一字体效果；</w:t>
      </w:r>
    </w:p>
    <w:p w14:paraId="7CC22923">
      <w:pPr>
        <w:widowControl w:val="0"/>
        <w:numPr>
          <w:ilvl w:val="0"/>
          <w:numId w:val="4"/>
        </w:numPr>
        <w:ind w:left="558" w:leftChars="0" w:hanging="558" w:firstLineChars="0"/>
        <w:jc w:val="both"/>
        <w:rPr>
          <w:rFonts w:hint="eastAsia"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规上工业-生产销售账页：</w:t>
      </w:r>
    </w:p>
    <w:p w14:paraId="65F062A6">
      <w:pPr>
        <w:numPr>
          <w:ilvl w:val="0"/>
          <w:numId w:val="12"/>
        </w:numPr>
        <w:ind w:left="840" w:leftChars="0" w:hanging="420" w:firstLineChars="0"/>
        <w:jc w:val="both"/>
        <w:rPr>
          <w:rFonts w:hint="eastAsia"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优化了【产品基本信息账页】，计量单位转换系数的指标注释说明，便于快速理解填报标准；</w:t>
      </w:r>
    </w:p>
    <w:p w14:paraId="671F069F">
      <w:pPr>
        <w:widowControl w:val="0"/>
        <w:numPr>
          <w:ilvl w:val="0"/>
          <w:numId w:val="4"/>
        </w:numPr>
        <w:ind w:left="558" w:leftChars="0" w:hanging="558" w:firstLineChars="0"/>
        <w:jc w:val="both"/>
        <w:rPr>
          <w:rFonts w:hint="default"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财务账页校验规则优化：</w:t>
      </w:r>
    </w:p>
    <w:p w14:paraId="52CDA1B8">
      <w:pPr>
        <w:widowControl w:val="0"/>
        <w:numPr>
          <w:ilvl w:val="0"/>
          <w:numId w:val="13"/>
        </w:numPr>
        <w:ind w:left="840" w:leftChars="0" w:hanging="420" w:firstLineChars="0"/>
        <w:jc w:val="both"/>
        <w:rPr>
          <w:rFonts w:hint="default" w:ascii="Times New Roman" w:hAnsi="Times New Roman" w:eastAsia="宋体" w:cs="Times New Roman"/>
          <w:sz w:val="28"/>
          <w:lang w:val="en-US" w:eastAsia="zh-CN"/>
        </w:rPr>
      </w:pPr>
      <w:r>
        <w:rPr>
          <w:rFonts w:hint="eastAsia" w:ascii="Times New Roman" w:hAnsi="Times New Roman" w:eastAsia="宋体" w:cs="Times New Roman"/>
          <w:sz w:val="28"/>
          <w:lang w:val="en-US" w:eastAsia="zh-CN"/>
        </w:rPr>
        <w:t>优化了：</w:t>
      </w:r>
      <w:r>
        <w:rPr>
          <w:rFonts w:hint="default" w:ascii="Times New Roman" w:hAnsi="Times New Roman" w:eastAsia="宋体" w:cs="Times New Roman"/>
          <w:sz w:val="28"/>
          <w:lang w:val="en-US" w:eastAsia="zh-CN"/>
        </w:rPr>
        <w:t>涉及（损失以“-”号记）的指标，</w:t>
      </w:r>
      <w:r>
        <w:rPr>
          <w:rFonts w:hint="eastAsia" w:ascii="Times New Roman" w:hAnsi="Times New Roman" w:eastAsia="宋体" w:cs="Times New Roman"/>
          <w:sz w:val="28"/>
          <w:lang w:val="en-US" w:eastAsia="zh-CN"/>
        </w:rPr>
        <w:t>允许填写负值。</w:t>
      </w:r>
      <w:r>
        <w:rPr>
          <w:rFonts w:hint="default" w:ascii="Times New Roman" w:hAnsi="Times New Roman" w:eastAsia="宋体" w:cs="Times New Roman"/>
          <w:sz w:val="28"/>
          <w:lang w:val="en-US" w:eastAsia="zh-CN"/>
        </w:rPr>
        <w:t>去除</w:t>
      </w:r>
      <w:r>
        <w:rPr>
          <w:rFonts w:hint="eastAsia" w:ascii="Times New Roman" w:hAnsi="Times New Roman" w:eastAsia="宋体" w:cs="Times New Roman"/>
          <w:sz w:val="28"/>
          <w:lang w:val="en-US" w:eastAsia="zh-CN"/>
        </w:rPr>
        <w:t>了</w:t>
      </w:r>
      <w:r>
        <w:rPr>
          <w:rFonts w:hint="default" w:ascii="Times New Roman" w:hAnsi="Times New Roman" w:eastAsia="宋体" w:cs="Times New Roman"/>
          <w:sz w:val="28"/>
          <w:lang w:val="en-US" w:eastAsia="zh-CN"/>
        </w:rPr>
        <w:t>大于等于0的核实校验</w:t>
      </w:r>
      <w:r>
        <w:rPr>
          <w:rFonts w:hint="eastAsia" w:ascii="Times New Roman" w:hAnsi="Times New Roman" w:eastAsia="宋体" w:cs="Times New Roman"/>
          <w:sz w:val="28"/>
          <w:lang w:val="en-US" w:eastAsia="zh-CN"/>
        </w:rPr>
        <w:t>。</w:t>
      </w:r>
    </w:p>
    <w:p w14:paraId="06CDCEFC">
      <w:pPr>
        <w:widowControl w:val="0"/>
        <w:numPr>
          <w:ilvl w:val="0"/>
          <w:numId w:val="0"/>
        </w:numPr>
        <w:tabs>
          <w:tab w:val="left" w:pos="420"/>
        </w:tabs>
        <w:jc w:val="both"/>
        <w:rPr>
          <w:rFonts w:hint="default" w:ascii="Times New Roman" w:hAnsi="Times New Roman" w:eastAsia="宋体" w:cs="Times New Roman"/>
          <w:sz w:val="28"/>
          <w:lang w:val="en-US" w:eastAsia="zh-CN"/>
        </w:rPr>
        <w:sectPr>
          <w:pgSz w:w="16838" w:h="11906" w:orient="landscape"/>
          <w:pgMar w:top="1800" w:right="1440" w:bottom="1800" w:left="1440" w:header="851" w:footer="992" w:gutter="0"/>
          <w:cols w:space="425" w:num="1"/>
          <w:docGrid w:type="lines" w:linePitch="312" w:charSpace="0"/>
        </w:sectPr>
      </w:pPr>
    </w:p>
    <w:p w14:paraId="6DB3D1BB">
      <w:pPr>
        <w:pStyle w:val="2"/>
        <w:bidi w:val="0"/>
        <w:jc w:val="center"/>
        <w:rPr>
          <w:rFonts w:hint="eastAsia"/>
        </w:rPr>
      </w:pPr>
      <w:r>
        <w:t>企业电子统计台账V 2.0.0版</w:t>
      </w:r>
      <w:r>
        <w:rPr>
          <w:rFonts w:hint="eastAsia"/>
        </w:rPr>
        <w:t>本升级</w:t>
      </w:r>
      <w:r>
        <w:t>清单</w:t>
      </w:r>
    </w:p>
    <w:p w14:paraId="4345055E">
      <w:pPr>
        <w:pStyle w:val="3"/>
        <w:numPr>
          <w:ilvl w:val="0"/>
          <w:numId w:val="14"/>
        </w:numPr>
        <w:bidi w:val="0"/>
      </w:pPr>
      <w:r>
        <w:rPr>
          <w:rFonts w:hint="eastAsia"/>
          <w:lang w:val="en-US" w:eastAsia="zh-CN"/>
        </w:rPr>
        <w:t>功能、账页升级</w:t>
      </w:r>
      <w:r>
        <w:t>清单</w:t>
      </w:r>
    </w:p>
    <w:tbl>
      <w:tblPr>
        <w:tblStyle w:val="5"/>
        <w:tblW w:w="141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2490"/>
        <w:gridCol w:w="7950"/>
        <w:gridCol w:w="2955"/>
      </w:tblGrid>
      <w:tr w14:paraId="5867C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2" w:type="dxa"/>
            <w:vAlign w:val="center"/>
          </w:tcPr>
          <w:p w14:paraId="209671B0">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序号</w:t>
            </w:r>
          </w:p>
        </w:tc>
        <w:tc>
          <w:tcPr>
            <w:tcW w:w="2490" w:type="dxa"/>
            <w:vAlign w:val="center"/>
          </w:tcPr>
          <w:p w14:paraId="2ECE8729">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需求</w:t>
            </w:r>
          </w:p>
        </w:tc>
        <w:tc>
          <w:tcPr>
            <w:tcW w:w="7950" w:type="dxa"/>
            <w:vAlign w:val="center"/>
          </w:tcPr>
          <w:p w14:paraId="18FAD1D3">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描述</w:t>
            </w:r>
          </w:p>
        </w:tc>
        <w:tc>
          <w:tcPr>
            <w:tcW w:w="2955" w:type="dxa"/>
            <w:vAlign w:val="center"/>
          </w:tcPr>
          <w:p w14:paraId="2E6ADDA3">
            <w:pPr>
              <w:spacing w:line="276" w:lineRule="auto"/>
              <w:jc w:val="center"/>
              <w:rPr>
                <w:rFonts w:ascii="Times New Roman" w:hAnsi="Times New Roman" w:eastAsia="宋体" w:cs="Times New Roman"/>
                <w:b/>
                <w:bCs/>
                <w:szCs w:val="21"/>
              </w:rPr>
            </w:pPr>
            <w:r>
              <w:rPr>
                <w:rFonts w:ascii="Times New Roman" w:hAnsi="Times New Roman" w:eastAsia="宋体" w:cs="Times New Roman"/>
                <w:b/>
                <w:bCs/>
                <w:szCs w:val="21"/>
              </w:rPr>
              <w:t>涉及行业</w:t>
            </w:r>
          </w:p>
        </w:tc>
      </w:tr>
      <w:tr w14:paraId="10E42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717BC39A">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w:t>
            </w:r>
          </w:p>
        </w:tc>
        <w:tc>
          <w:tcPr>
            <w:tcW w:w="2490" w:type="dxa"/>
            <w:vAlign w:val="center"/>
          </w:tcPr>
          <w:p w14:paraId="21A82999">
            <w:pPr>
              <w:spacing w:line="276" w:lineRule="auto"/>
              <w:rPr>
                <w:rFonts w:ascii="Times New Roman" w:hAnsi="Times New Roman" w:eastAsia="宋体" w:cs="Times New Roman"/>
                <w:szCs w:val="21"/>
              </w:rPr>
            </w:pPr>
            <w:r>
              <w:rPr>
                <w:rFonts w:ascii="Times New Roman" w:hAnsi="Times New Roman" w:eastAsia="宋体" w:cs="Times New Roman"/>
                <w:szCs w:val="21"/>
              </w:rPr>
              <w:t>更新智能填报上传文件格式</w:t>
            </w:r>
          </w:p>
        </w:tc>
        <w:tc>
          <w:tcPr>
            <w:tcW w:w="7950" w:type="dxa"/>
            <w:vAlign w:val="center"/>
          </w:tcPr>
          <w:p w14:paraId="305F3645">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支持上传csv、xls、xlsx格式文件</w:t>
            </w:r>
          </w:p>
        </w:tc>
        <w:tc>
          <w:tcPr>
            <w:tcW w:w="2955" w:type="dxa"/>
            <w:vAlign w:val="center"/>
          </w:tcPr>
          <w:p w14:paraId="74895BDC">
            <w:pPr>
              <w:spacing w:line="276" w:lineRule="auto"/>
              <w:rPr>
                <w:rFonts w:ascii="Times New Roman" w:hAnsi="Times New Roman" w:eastAsia="宋体" w:cs="Times New Roman"/>
                <w:szCs w:val="21"/>
              </w:rPr>
            </w:pPr>
            <w:r>
              <w:rPr>
                <w:rFonts w:ascii="Times New Roman" w:hAnsi="Times New Roman" w:eastAsia="宋体" w:cs="Times New Roman"/>
                <w:szCs w:val="21"/>
              </w:rPr>
              <w:t>通用功能</w:t>
            </w:r>
          </w:p>
        </w:tc>
      </w:tr>
      <w:tr w14:paraId="597E1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037ED9D8">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2</w:t>
            </w:r>
          </w:p>
        </w:tc>
        <w:tc>
          <w:tcPr>
            <w:tcW w:w="2490" w:type="dxa"/>
            <w:vAlign w:val="center"/>
          </w:tcPr>
          <w:p w14:paraId="761E743E">
            <w:pPr>
              <w:spacing w:line="276" w:lineRule="auto"/>
              <w:rPr>
                <w:rFonts w:ascii="Times New Roman" w:hAnsi="Times New Roman" w:eastAsia="宋体" w:cs="Times New Roman"/>
                <w:szCs w:val="21"/>
              </w:rPr>
            </w:pPr>
            <w:r>
              <w:rPr>
                <w:rFonts w:ascii="Times New Roman" w:hAnsi="Times New Roman" w:eastAsia="宋体" w:cs="Times New Roman"/>
                <w:szCs w:val="21"/>
              </w:rPr>
              <w:t>增加操作使用说明弹窗</w:t>
            </w:r>
          </w:p>
        </w:tc>
        <w:tc>
          <w:tcPr>
            <w:tcW w:w="7950" w:type="dxa"/>
            <w:vAlign w:val="center"/>
          </w:tcPr>
          <w:p w14:paraId="1D523E58">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进入程序，展示安全性、软件更新、使用帮助的说明弹窗</w:t>
            </w:r>
          </w:p>
        </w:tc>
        <w:tc>
          <w:tcPr>
            <w:tcW w:w="2955" w:type="dxa"/>
            <w:vAlign w:val="center"/>
          </w:tcPr>
          <w:p w14:paraId="0943C452">
            <w:pPr>
              <w:spacing w:line="276" w:lineRule="auto"/>
              <w:rPr>
                <w:rFonts w:ascii="Times New Roman" w:hAnsi="Times New Roman" w:eastAsia="宋体" w:cs="Times New Roman"/>
                <w:szCs w:val="21"/>
              </w:rPr>
            </w:pPr>
            <w:r>
              <w:rPr>
                <w:rFonts w:ascii="Times New Roman" w:hAnsi="Times New Roman" w:eastAsia="宋体" w:cs="Times New Roman"/>
                <w:szCs w:val="21"/>
              </w:rPr>
              <w:t>通用功能</w:t>
            </w:r>
          </w:p>
        </w:tc>
      </w:tr>
      <w:tr w14:paraId="489AC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013997F9">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3</w:t>
            </w:r>
          </w:p>
        </w:tc>
        <w:tc>
          <w:tcPr>
            <w:tcW w:w="2490" w:type="dxa"/>
            <w:vAlign w:val="center"/>
          </w:tcPr>
          <w:p w14:paraId="63B9F401">
            <w:pPr>
              <w:spacing w:line="276" w:lineRule="auto"/>
              <w:rPr>
                <w:rFonts w:ascii="Times New Roman" w:hAnsi="Times New Roman" w:eastAsia="宋体" w:cs="Times New Roman"/>
                <w:szCs w:val="21"/>
              </w:rPr>
            </w:pPr>
            <w:r>
              <w:rPr>
                <w:rFonts w:ascii="Times New Roman" w:hAnsi="Times New Roman" w:eastAsia="宋体" w:cs="Times New Roman"/>
                <w:szCs w:val="21"/>
              </w:rPr>
              <w:t>增加操作状态友好提示</w:t>
            </w:r>
          </w:p>
        </w:tc>
        <w:tc>
          <w:tcPr>
            <w:tcW w:w="7950" w:type="dxa"/>
            <w:vAlign w:val="center"/>
          </w:tcPr>
          <w:p w14:paraId="758FEEDD">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数据的上传、保存、暂存优化了提示信息的效果，便于用户确认当前操作状态</w:t>
            </w:r>
          </w:p>
          <w:p w14:paraId="304B5108">
            <w:pPr>
              <w:spacing w:line="276" w:lineRule="auto"/>
              <w:rPr>
                <w:rFonts w:ascii="Times New Roman" w:hAnsi="Times New Roman" w:eastAsia="宋体" w:cs="Times New Roman"/>
                <w:szCs w:val="21"/>
              </w:rPr>
            </w:pPr>
            <w:r>
              <w:rPr>
                <w:rFonts w:ascii="Times New Roman" w:hAnsi="Times New Roman" w:eastAsia="宋体" w:cs="Times New Roman"/>
                <w:szCs w:val="21"/>
              </w:rPr>
              <w:t>如：【数据保存中...】、【保存成功】等</w:t>
            </w:r>
          </w:p>
        </w:tc>
        <w:tc>
          <w:tcPr>
            <w:tcW w:w="2955" w:type="dxa"/>
            <w:vAlign w:val="center"/>
          </w:tcPr>
          <w:p w14:paraId="3EEE8785">
            <w:pPr>
              <w:spacing w:line="276" w:lineRule="auto"/>
              <w:rPr>
                <w:rFonts w:ascii="Times New Roman" w:hAnsi="Times New Roman" w:eastAsia="宋体" w:cs="Times New Roman"/>
                <w:szCs w:val="21"/>
              </w:rPr>
            </w:pPr>
            <w:r>
              <w:rPr>
                <w:rFonts w:ascii="Times New Roman" w:hAnsi="Times New Roman" w:eastAsia="宋体" w:cs="Times New Roman"/>
                <w:szCs w:val="21"/>
              </w:rPr>
              <w:t>通用功能</w:t>
            </w:r>
          </w:p>
        </w:tc>
      </w:tr>
      <w:tr w14:paraId="2F018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090974B9">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4</w:t>
            </w:r>
          </w:p>
        </w:tc>
        <w:tc>
          <w:tcPr>
            <w:tcW w:w="2490" w:type="dxa"/>
            <w:shd w:val="clear" w:color="auto" w:fill="auto"/>
            <w:vAlign w:val="center"/>
          </w:tcPr>
          <w:p w14:paraId="5506B8EB">
            <w:pPr>
              <w:spacing w:line="276" w:lineRule="auto"/>
              <w:rPr>
                <w:rFonts w:ascii="Times New Roman" w:hAnsi="Times New Roman" w:eastAsia="宋体" w:cs="Times New Roman"/>
                <w:szCs w:val="21"/>
              </w:rPr>
            </w:pPr>
            <w:r>
              <w:rPr>
                <w:rFonts w:ascii="Times New Roman" w:hAnsi="Times New Roman" w:eastAsia="宋体" w:cs="Times New Roman"/>
                <w:szCs w:val="21"/>
              </w:rPr>
              <w:t>增加填报期别醒目提示</w:t>
            </w:r>
          </w:p>
        </w:tc>
        <w:tc>
          <w:tcPr>
            <w:tcW w:w="7950" w:type="dxa"/>
            <w:shd w:val="clear" w:color="auto" w:fill="auto"/>
            <w:vAlign w:val="center"/>
          </w:tcPr>
          <w:p w14:paraId="3608F9D8">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支持选择填报期别的台账表/汇总表增加表单预览页提示注意切换期别的醒目提示</w:t>
            </w:r>
          </w:p>
        </w:tc>
        <w:tc>
          <w:tcPr>
            <w:tcW w:w="2955" w:type="dxa"/>
            <w:shd w:val="clear" w:color="auto" w:fill="auto"/>
            <w:vAlign w:val="center"/>
          </w:tcPr>
          <w:p w14:paraId="2D33000E">
            <w:pPr>
              <w:spacing w:line="276" w:lineRule="auto"/>
              <w:rPr>
                <w:rFonts w:ascii="Times New Roman" w:hAnsi="Times New Roman" w:eastAsia="宋体" w:cs="Times New Roman"/>
                <w:szCs w:val="21"/>
              </w:rPr>
            </w:pPr>
            <w:r>
              <w:rPr>
                <w:rFonts w:ascii="Times New Roman" w:hAnsi="Times New Roman" w:eastAsia="宋体" w:cs="Times New Roman"/>
                <w:szCs w:val="21"/>
              </w:rPr>
              <w:t>通用功能</w:t>
            </w:r>
          </w:p>
        </w:tc>
      </w:tr>
      <w:tr w14:paraId="37307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3AAB0479">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5</w:t>
            </w:r>
          </w:p>
        </w:tc>
        <w:tc>
          <w:tcPr>
            <w:tcW w:w="2490" w:type="dxa"/>
            <w:shd w:val="clear" w:color="auto" w:fill="auto"/>
            <w:vAlign w:val="center"/>
          </w:tcPr>
          <w:p w14:paraId="198DBF08">
            <w:pPr>
              <w:spacing w:line="276" w:lineRule="auto"/>
              <w:rPr>
                <w:rFonts w:ascii="Times New Roman" w:hAnsi="Times New Roman" w:eastAsia="宋体" w:cs="Times New Roman"/>
                <w:szCs w:val="21"/>
              </w:rPr>
            </w:pPr>
            <w:r>
              <w:rPr>
                <w:rFonts w:ascii="Times New Roman" w:hAnsi="Times New Roman" w:eastAsia="宋体" w:cs="Times New Roman"/>
                <w:szCs w:val="21"/>
              </w:rPr>
              <w:t>更新台账表字体格式、数据行数量</w:t>
            </w:r>
          </w:p>
        </w:tc>
        <w:tc>
          <w:tcPr>
            <w:tcW w:w="7950" w:type="dxa"/>
            <w:shd w:val="clear" w:color="auto" w:fill="auto"/>
            <w:vAlign w:val="center"/>
          </w:tcPr>
          <w:p w14:paraId="3264B564">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统一优化了台账表的单元格格式、扩重数据行数量</w:t>
            </w:r>
          </w:p>
        </w:tc>
        <w:tc>
          <w:tcPr>
            <w:tcW w:w="2955" w:type="dxa"/>
            <w:shd w:val="clear" w:color="auto" w:fill="auto"/>
            <w:vAlign w:val="center"/>
          </w:tcPr>
          <w:p w14:paraId="76129545">
            <w:pPr>
              <w:spacing w:line="276" w:lineRule="auto"/>
              <w:rPr>
                <w:rFonts w:ascii="Times New Roman" w:hAnsi="Times New Roman" w:eastAsia="宋体" w:cs="Times New Roman"/>
                <w:szCs w:val="21"/>
              </w:rPr>
            </w:pPr>
            <w:r>
              <w:rPr>
                <w:rFonts w:ascii="Times New Roman" w:hAnsi="Times New Roman" w:eastAsia="宋体" w:cs="Times New Roman"/>
                <w:szCs w:val="21"/>
              </w:rPr>
              <w:t>通用功能</w:t>
            </w:r>
          </w:p>
        </w:tc>
      </w:tr>
      <w:tr w14:paraId="56BD5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59ADEB03">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6</w:t>
            </w:r>
          </w:p>
        </w:tc>
        <w:tc>
          <w:tcPr>
            <w:tcW w:w="2490" w:type="dxa"/>
            <w:shd w:val="clear" w:color="auto" w:fill="auto"/>
            <w:vAlign w:val="center"/>
          </w:tcPr>
          <w:p w14:paraId="4360A48E">
            <w:pPr>
              <w:spacing w:line="276" w:lineRule="auto"/>
              <w:rPr>
                <w:rFonts w:ascii="Times New Roman" w:hAnsi="Times New Roman" w:eastAsia="宋体" w:cs="Times New Roman"/>
                <w:szCs w:val="21"/>
              </w:rPr>
            </w:pPr>
            <w:r>
              <w:rPr>
                <w:rFonts w:ascii="Times New Roman" w:hAnsi="Times New Roman" w:eastAsia="宋体" w:cs="Times New Roman"/>
                <w:szCs w:val="21"/>
              </w:rPr>
              <w:t>更新汇总表数据展示</w:t>
            </w:r>
          </w:p>
        </w:tc>
        <w:tc>
          <w:tcPr>
            <w:tcW w:w="7950" w:type="dxa"/>
            <w:shd w:val="clear" w:color="auto" w:fill="auto"/>
            <w:vAlign w:val="center"/>
          </w:tcPr>
          <w:p w14:paraId="0B043435">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支持导出汇总表，双加单元格查看实际数据</w:t>
            </w:r>
          </w:p>
        </w:tc>
        <w:tc>
          <w:tcPr>
            <w:tcW w:w="2955" w:type="dxa"/>
            <w:shd w:val="clear" w:color="auto" w:fill="auto"/>
            <w:vAlign w:val="center"/>
          </w:tcPr>
          <w:p w14:paraId="6AB55A10">
            <w:pPr>
              <w:spacing w:line="276" w:lineRule="auto"/>
              <w:rPr>
                <w:rFonts w:ascii="Times New Roman" w:hAnsi="Times New Roman" w:eastAsia="宋体" w:cs="Times New Roman"/>
                <w:szCs w:val="21"/>
              </w:rPr>
            </w:pPr>
            <w:r>
              <w:rPr>
                <w:rFonts w:ascii="Times New Roman" w:hAnsi="Times New Roman" w:eastAsia="宋体" w:cs="Times New Roman"/>
                <w:szCs w:val="21"/>
              </w:rPr>
              <w:t>通用功能</w:t>
            </w:r>
          </w:p>
        </w:tc>
      </w:tr>
      <w:tr w14:paraId="4A3DD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563762D2">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7</w:t>
            </w:r>
          </w:p>
        </w:tc>
        <w:tc>
          <w:tcPr>
            <w:tcW w:w="2490" w:type="dxa"/>
            <w:shd w:val="clear" w:color="auto" w:fill="auto"/>
            <w:vAlign w:val="center"/>
          </w:tcPr>
          <w:p w14:paraId="1A94A670">
            <w:pPr>
              <w:spacing w:line="276" w:lineRule="auto"/>
              <w:rPr>
                <w:rFonts w:ascii="Times New Roman" w:hAnsi="Times New Roman" w:eastAsia="宋体" w:cs="Times New Roman"/>
                <w:szCs w:val="21"/>
              </w:rPr>
            </w:pPr>
            <w:r>
              <w:rPr>
                <w:rFonts w:ascii="Times New Roman" w:hAnsi="Times New Roman" w:eastAsia="宋体" w:cs="Times New Roman"/>
                <w:szCs w:val="21"/>
              </w:rPr>
              <w:t>增加台账、汇总表标识</w:t>
            </w:r>
          </w:p>
        </w:tc>
        <w:tc>
          <w:tcPr>
            <w:tcW w:w="7950" w:type="dxa"/>
            <w:shd w:val="clear" w:color="auto" w:fill="auto"/>
            <w:vAlign w:val="center"/>
          </w:tcPr>
          <w:p w14:paraId="26152261">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账页增加顺序标识；</w:t>
            </w:r>
          </w:p>
          <w:p w14:paraId="4BE39684">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汇总表增加标准表号；</w:t>
            </w:r>
          </w:p>
          <w:p w14:paraId="391B301A">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表号支持浮窗提示相关填报账页</w:t>
            </w:r>
          </w:p>
        </w:tc>
        <w:tc>
          <w:tcPr>
            <w:tcW w:w="2955" w:type="dxa"/>
            <w:shd w:val="clear" w:color="auto" w:fill="auto"/>
            <w:vAlign w:val="center"/>
          </w:tcPr>
          <w:p w14:paraId="70881888">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p>
          <w:p w14:paraId="50EE8446">
            <w:pPr>
              <w:spacing w:line="276" w:lineRule="auto"/>
              <w:rPr>
                <w:rFonts w:ascii="Times New Roman" w:hAnsi="Times New Roman" w:eastAsia="宋体" w:cs="Times New Roman"/>
                <w:kern w:val="2"/>
                <w:sz w:val="21"/>
                <w:szCs w:val="21"/>
                <w:lang w:val="en-US" w:eastAsia="zh-CN" w:bidi="ar-SA"/>
              </w:rPr>
            </w:pPr>
            <w:r>
              <w:rPr>
                <w:rFonts w:ascii="Times New Roman" w:hAnsi="Times New Roman" w:eastAsia="宋体" w:cs="Times New Roman"/>
                <w:szCs w:val="21"/>
              </w:rPr>
              <w:t>房地产开发业、限额以上批发和零售、限额以上住宿和餐饮、规上服务业</w:t>
            </w:r>
          </w:p>
        </w:tc>
      </w:tr>
      <w:tr w14:paraId="2DE16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0B24D0B4">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8</w:t>
            </w:r>
          </w:p>
        </w:tc>
        <w:tc>
          <w:tcPr>
            <w:tcW w:w="2490" w:type="dxa"/>
            <w:shd w:val="clear" w:color="auto" w:fill="auto"/>
            <w:vAlign w:val="center"/>
          </w:tcPr>
          <w:p w14:paraId="68332BD6">
            <w:pPr>
              <w:spacing w:line="276" w:lineRule="auto"/>
              <w:rPr>
                <w:rFonts w:ascii="Times New Roman" w:hAnsi="Times New Roman" w:eastAsia="宋体" w:cs="Times New Roman"/>
                <w:szCs w:val="21"/>
              </w:rPr>
            </w:pPr>
            <w:r>
              <w:rPr>
                <w:rFonts w:ascii="Times New Roman" w:hAnsi="Times New Roman" w:eastAsia="宋体" w:cs="Times New Roman"/>
                <w:szCs w:val="21"/>
              </w:rPr>
              <w:t>更新财务账页智能填报文件记忆功能</w:t>
            </w:r>
          </w:p>
        </w:tc>
        <w:tc>
          <w:tcPr>
            <w:tcW w:w="7950" w:type="dxa"/>
            <w:shd w:val="clear" w:color="auto" w:fill="auto"/>
            <w:vAlign w:val="center"/>
          </w:tcPr>
          <w:p w14:paraId="3ABDB462">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智能填报-匹配规则支持保存文件参数配置</w:t>
            </w:r>
          </w:p>
        </w:tc>
        <w:tc>
          <w:tcPr>
            <w:tcW w:w="2955" w:type="dxa"/>
            <w:shd w:val="clear" w:color="auto" w:fill="auto"/>
            <w:vAlign w:val="center"/>
          </w:tcPr>
          <w:p w14:paraId="5E69B0D0">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p>
          <w:p w14:paraId="1FAAF4D2">
            <w:pPr>
              <w:spacing w:line="276" w:lineRule="auto"/>
              <w:rPr>
                <w:rFonts w:ascii="Times New Roman" w:hAnsi="Times New Roman" w:eastAsia="宋体" w:cs="Times New Roman"/>
                <w:szCs w:val="21"/>
              </w:rPr>
            </w:pPr>
            <w:r>
              <w:rPr>
                <w:rFonts w:ascii="Times New Roman" w:hAnsi="Times New Roman" w:eastAsia="宋体" w:cs="Times New Roman"/>
                <w:szCs w:val="21"/>
              </w:rPr>
              <w:t>房地产开发业、限额以上批发和零售、限额以上住宿和餐饮、规上服务业</w:t>
            </w:r>
          </w:p>
        </w:tc>
      </w:tr>
      <w:tr w14:paraId="24C64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1B78A387">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9</w:t>
            </w:r>
          </w:p>
        </w:tc>
        <w:tc>
          <w:tcPr>
            <w:tcW w:w="2490" w:type="dxa"/>
            <w:shd w:val="clear" w:color="auto" w:fill="auto"/>
            <w:vAlign w:val="center"/>
          </w:tcPr>
          <w:p w14:paraId="01457689">
            <w:pPr>
              <w:spacing w:line="276" w:lineRule="auto"/>
              <w:rPr>
                <w:rFonts w:ascii="Times New Roman" w:hAnsi="Times New Roman" w:eastAsia="宋体" w:cs="Times New Roman"/>
                <w:szCs w:val="21"/>
              </w:rPr>
            </w:pPr>
            <w:r>
              <w:rPr>
                <w:rFonts w:ascii="Times New Roman" w:hAnsi="Times New Roman" w:eastAsia="宋体" w:cs="Times New Roman"/>
                <w:szCs w:val="21"/>
              </w:rPr>
              <w:t>增加企业信息指标解释说明</w:t>
            </w:r>
          </w:p>
        </w:tc>
        <w:tc>
          <w:tcPr>
            <w:tcW w:w="7950" w:type="dxa"/>
            <w:shd w:val="clear" w:color="auto" w:fill="auto"/>
            <w:vAlign w:val="center"/>
          </w:tcPr>
          <w:p w14:paraId="01FBA662">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【是否有能源生产】增加指标解释</w:t>
            </w:r>
          </w:p>
          <w:p w14:paraId="75A1496C">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【是否有能源消费】增加指标解释</w:t>
            </w:r>
          </w:p>
        </w:tc>
        <w:tc>
          <w:tcPr>
            <w:tcW w:w="2955" w:type="dxa"/>
            <w:shd w:val="clear" w:color="auto" w:fill="auto"/>
            <w:vAlign w:val="center"/>
          </w:tcPr>
          <w:p w14:paraId="3ADFD1AE">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p>
          <w:p w14:paraId="34876366">
            <w:pPr>
              <w:spacing w:line="276" w:lineRule="auto"/>
              <w:rPr>
                <w:rFonts w:ascii="Times New Roman" w:hAnsi="Times New Roman" w:eastAsia="宋体" w:cs="Times New Roman"/>
                <w:szCs w:val="21"/>
              </w:rPr>
            </w:pPr>
            <w:r>
              <w:rPr>
                <w:rFonts w:ascii="Times New Roman" w:hAnsi="Times New Roman" w:eastAsia="宋体" w:cs="Times New Roman"/>
                <w:szCs w:val="21"/>
              </w:rPr>
              <w:t>房地产开发业、限额以上批发和零售、限额以上住宿和餐饮、规上服务业</w:t>
            </w:r>
          </w:p>
        </w:tc>
      </w:tr>
      <w:tr w14:paraId="08C1B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203CADA3">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10</w:t>
            </w:r>
          </w:p>
        </w:tc>
        <w:tc>
          <w:tcPr>
            <w:tcW w:w="2490" w:type="dxa"/>
            <w:shd w:val="clear" w:color="auto" w:fill="auto"/>
            <w:vAlign w:val="center"/>
          </w:tcPr>
          <w:p w14:paraId="1D861324">
            <w:pPr>
              <w:spacing w:line="276" w:lineRule="auto"/>
              <w:rPr>
                <w:rFonts w:ascii="Times New Roman" w:hAnsi="Times New Roman" w:eastAsia="宋体" w:cs="Times New Roman"/>
                <w:szCs w:val="21"/>
              </w:rPr>
            </w:pPr>
            <w:r>
              <w:rPr>
                <w:rFonts w:ascii="Times New Roman" w:hAnsi="Times New Roman" w:eastAsia="宋体" w:cs="Times New Roman"/>
                <w:szCs w:val="21"/>
              </w:rPr>
              <w:t>更新固定资产投资账页</w:t>
            </w:r>
          </w:p>
        </w:tc>
        <w:tc>
          <w:tcPr>
            <w:tcW w:w="7950" w:type="dxa"/>
            <w:shd w:val="clear" w:color="auto" w:fill="auto"/>
            <w:vAlign w:val="center"/>
          </w:tcPr>
          <w:p w14:paraId="539444EC">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增加台账表指标解释：对以下指标增加注释：上年末累计完成投资、上年末结余资金、施工项目个数、其中：本年新开工（施工项目个数）、本年投产项目个数、本月完成投资</w:t>
            </w:r>
          </w:p>
          <w:p w14:paraId="79055EC0">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更新汇总表根据明细表中的“本月完成投资”指标汇总指定数据</w:t>
            </w:r>
          </w:p>
        </w:tc>
        <w:tc>
          <w:tcPr>
            <w:tcW w:w="2955" w:type="dxa"/>
            <w:shd w:val="clear" w:color="auto" w:fill="auto"/>
            <w:vAlign w:val="center"/>
          </w:tcPr>
          <w:p w14:paraId="08B98203">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规上工业、资质内建筑业、限额以上批发和零售、限额以上住宿和餐饮、规上服务业</w:t>
            </w:r>
          </w:p>
        </w:tc>
      </w:tr>
      <w:tr w14:paraId="17B05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Merge w:val="restart"/>
            <w:vAlign w:val="center"/>
          </w:tcPr>
          <w:p w14:paraId="5CE1DD88">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11</w:t>
            </w:r>
          </w:p>
        </w:tc>
        <w:tc>
          <w:tcPr>
            <w:tcW w:w="2490" w:type="dxa"/>
            <w:vMerge w:val="restart"/>
            <w:shd w:val="clear" w:color="auto" w:fill="auto"/>
            <w:vAlign w:val="center"/>
          </w:tcPr>
          <w:p w14:paraId="11B0D729">
            <w:pPr>
              <w:spacing w:line="276" w:lineRule="auto"/>
              <w:rPr>
                <w:rFonts w:ascii="Times New Roman" w:hAnsi="Times New Roman" w:eastAsia="宋体" w:cs="Times New Roman"/>
                <w:szCs w:val="21"/>
              </w:rPr>
            </w:pPr>
            <w:r>
              <w:rPr>
                <w:rFonts w:ascii="Times New Roman" w:hAnsi="Times New Roman" w:eastAsia="宋体" w:cs="Times New Roman"/>
                <w:szCs w:val="21"/>
              </w:rPr>
              <w:t>更新研究开发账页</w:t>
            </w:r>
          </w:p>
        </w:tc>
        <w:tc>
          <w:tcPr>
            <w:tcW w:w="7950" w:type="dxa"/>
            <w:shd w:val="clear" w:color="auto" w:fill="auto"/>
            <w:vAlign w:val="center"/>
          </w:tcPr>
          <w:p w14:paraId="6350E04B">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台账表补充填写说明</w:t>
            </w:r>
          </w:p>
        </w:tc>
        <w:tc>
          <w:tcPr>
            <w:tcW w:w="2955" w:type="dxa"/>
            <w:shd w:val="clear" w:color="auto" w:fill="auto"/>
            <w:vAlign w:val="center"/>
          </w:tcPr>
          <w:p w14:paraId="6A32F3BF">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p>
          <w:p w14:paraId="6C10DBA7">
            <w:pPr>
              <w:spacing w:line="276" w:lineRule="auto"/>
              <w:rPr>
                <w:rFonts w:ascii="Times New Roman" w:hAnsi="Times New Roman" w:eastAsia="宋体" w:cs="Times New Roman"/>
                <w:szCs w:val="21"/>
              </w:rPr>
            </w:pPr>
            <w:r>
              <w:rPr>
                <w:rFonts w:ascii="Times New Roman" w:hAnsi="Times New Roman" w:eastAsia="宋体" w:cs="Times New Roman"/>
                <w:szCs w:val="21"/>
              </w:rPr>
              <w:t>规上服务业、规下工业、规下服务业</w:t>
            </w:r>
          </w:p>
        </w:tc>
      </w:tr>
      <w:tr w14:paraId="74A7D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Merge w:val="continue"/>
            <w:vAlign w:val="center"/>
          </w:tcPr>
          <w:p w14:paraId="33705931">
            <w:pPr>
              <w:spacing w:line="276" w:lineRule="auto"/>
              <w:jc w:val="center"/>
              <w:rPr>
                <w:rFonts w:ascii="Times New Roman" w:hAnsi="Times New Roman" w:eastAsia="宋体" w:cs="Times New Roman"/>
                <w:szCs w:val="21"/>
              </w:rPr>
            </w:pPr>
          </w:p>
        </w:tc>
        <w:tc>
          <w:tcPr>
            <w:tcW w:w="2490" w:type="dxa"/>
            <w:vMerge w:val="continue"/>
            <w:shd w:val="clear" w:color="auto" w:fill="auto"/>
            <w:vAlign w:val="center"/>
          </w:tcPr>
          <w:p w14:paraId="77B679BE">
            <w:pPr>
              <w:spacing w:line="276" w:lineRule="auto"/>
              <w:rPr>
                <w:rFonts w:ascii="Times New Roman" w:hAnsi="Times New Roman" w:eastAsia="宋体" w:cs="Times New Roman"/>
                <w:szCs w:val="21"/>
              </w:rPr>
            </w:pPr>
          </w:p>
        </w:tc>
        <w:tc>
          <w:tcPr>
            <w:tcW w:w="7950" w:type="dxa"/>
            <w:shd w:val="clear" w:color="auto" w:fill="auto"/>
            <w:vAlign w:val="center"/>
          </w:tcPr>
          <w:p w14:paraId="63B624BA">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增加研发支出辅助账</w:t>
            </w:r>
          </w:p>
        </w:tc>
        <w:tc>
          <w:tcPr>
            <w:tcW w:w="2955" w:type="dxa"/>
            <w:shd w:val="clear" w:color="auto" w:fill="auto"/>
            <w:vAlign w:val="center"/>
          </w:tcPr>
          <w:p w14:paraId="7E51A256">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p>
          <w:p w14:paraId="771F8E11">
            <w:pPr>
              <w:spacing w:line="276" w:lineRule="auto"/>
              <w:rPr>
                <w:rFonts w:ascii="Times New Roman" w:hAnsi="Times New Roman" w:eastAsia="宋体" w:cs="Times New Roman"/>
                <w:szCs w:val="21"/>
              </w:rPr>
            </w:pPr>
            <w:r>
              <w:rPr>
                <w:rFonts w:ascii="Times New Roman" w:hAnsi="Times New Roman" w:eastAsia="宋体" w:cs="Times New Roman"/>
                <w:szCs w:val="21"/>
              </w:rPr>
              <w:t>规上服务业</w:t>
            </w:r>
          </w:p>
        </w:tc>
      </w:tr>
      <w:tr w14:paraId="32F57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32384582">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12</w:t>
            </w:r>
          </w:p>
        </w:tc>
        <w:tc>
          <w:tcPr>
            <w:tcW w:w="2490" w:type="dxa"/>
            <w:shd w:val="clear" w:color="auto" w:fill="auto"/>
            <w:vAlign w:val="center"/>
          </w:tcPr>
          <w:p w14:paraId="615AC03F">
            <w:pPr>
              <w:spacing w:line="276" w:lineRule="auto"/>
              <w:rPr>
                <w:rFonts w:ascii="Times New Roman" w:hAnsi="Times New Roman" w:eastAsia="宋体" w:cs="Times New Roman"/>
                <w:szCs w:val="21"/>
              </w:rPr>
            </w:pPr>
            <w:r>
              <w:rPr>
                <w:rFonts w:ascii="Times New Roman" w:hAnsi="Times New Roman" w:eastAsia="宋体" w:cs="Times New Roman"/>
                <w:szCs w:val="21"/>
              </w:rPr>
              <w:t>更新劳动工资账页</w:t>
            </w:r>
          </w:p>
        </w:tc>
        <w:tc>
          <w:tcPr>
            <w:tcW w:w="7950" w:type="dxa"/>
            <w:shd w:val="clear" w:color="auto" w:fill="auto"/>
            <w:vAlign w:val="center"/>
          </w:tcPr>
          <w:p w14:paraId="453D1FB3">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更新汇总表：支持离职人员工资信息算入至汇总表中；</w:t>
            </w:r>
          </w:p>
          <w:p w14:paraId="44451840">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人员基本信息表，工号优化为非必填；工资构成表可自动带入已填工号；</w:t>
            </w:r>
          </w:p>
        </w:tc>
        <w:tc>
          <w:tcPr>
            <w:tcW w:w="2955" w:type="dxa"/>
            <w:shd w:val="clear" w:color="auto" w:fill="auto"/>
            <w:vAlign w:val="center"/>
          </w:tcPr>
          <w:p w14:paraId="3DC9F540">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w:t>
            </w:r>
          </w:p>
          <w:p w14:paraId="7D5ADBD0">
            <w:pPr>
              <w:spacing w:line="276" w:lineRule="auto"/>
              <w:rPr>
                <w:rFonts w:ascii="Times New Roman" w:hAnsi="Times New Roman" w:eastAsia="宋体" w:cs="Times New Roman"/>
                <w:szCs w:val="21"/>
              </w:rPr>
            </w:pPr>
            <w:r>
              <w:rPr>
                <w:rFonts w:ascii="Times New Roman" w:hAnsi="Times New Roman" w:eastAsia="宋体" w:cs="Times New Roman"/>
                <w:szCs w:val="21"/>
              </w:rPr>
              <w:t>房地产开发业、限额以上批发和零售、限额以上住宿和餐饮、规上服务业</w:t>
            </w:r>
          </w:p>
        </w:tc>
      </w:tr>
      <w:tr w14:paraId="3CD3F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14375AE5">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13</w:t>
            </w:r>
          </w:p>
        </w:tc>
        <w:tc>
          <w:tcPr>
            <w:tcW w:w="2490" w:type="dxa"/>
            <w:shd w:val="clear" w:color="auto" w:fill="auto"/>
            <w:vAlign w:val="center"/>
          </w:tcPr>
          <w:p w14:paraId="0D242EF5">
            <w:pPr>
              <w:spacing w:line="276" w:lineRule="auto"/>
              <w:rPr>
                <w:rFonts w:ascii="Times New Roman" w:hAnsi="Times New Roman" w:eastAsia="宋体" w:cs="Times New Roman"/>
                <w:szCs w:val="21"/>
              </w:rPr>
            </w:pPr>
            <w:r>
              <w:rPr>
                <w:rFonts w:ascii="Times New Roman" w:hAnsi="Times New Roman" w:eastAsia="宋体" w:cs="Times New Roman"/>
                <w:szCs w:val="21"/>
              </w:rPr>
              <w:t>更新财务账页数据校验</w:t>
            </w:r>
          </w:p>
        </w:tc>
        <w:tc>
          <w:tcPr>
            <w:tcW w:w="7950" w:type="dxa"/>
            <w:shd w:val="clear" w:color="auto" w:fill="auto"/>
            <w:vAlign w:val="center"/>
          </w:tcPr>
          <w:p w14:paraId="02041738">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指标计算误差在±1时，不触发校验</w:t>
            </w:r>
          </w:p>
        </w:tc>
        <w:tc>
          <w:tcPr>
            <w:tcW w:w="2955" w:type="dxa"/>
            <w:shd w:val="clear" w:color="auto" w:fill="auto"/>
            <w:vAlign w:val="center"/>
          </w:tcPr>
          <w:p w14:paraId="6784816A">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规上工业、资质内建筑业、房地产开发业、限额以上批发和零售、限额以上住宿和餐饮、规上服务业</w:t>
            </w:r>
          </w:p>
        </w:tc>
      </w:tr>
      <w:tr w14:paraId="4BDA7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6B11ABC1">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14</w:t>
            </w:r>
          </w:p>
        </w:tc>
        <w:tc>
          <w:tcPr>
            <w:tcW w:w="2490" w:type="dxa"/>
            <w:vMerge w:val="restart"/>
            <w:shd w:val="clear" w:color="auto" w:fill="auto"/>
            <w:vAlign w:val="center"/>
          </w:tcPr>
          <w:p w14:paraId="325B051E">
            <w:pPr>
              <w:spacing w:line="276" w:lineRule="auto"/>
              <w:rPr>
                <w:rFonts w:ascii="Times New Roman" w:hAnsi="Times New Roman" w:eastAsia="宋体" w:cs="Times New Roman"/>
                <w:szCs w:val="21"/>
              </w:rPr>
            </w:pPr>
            <w:r>
              <w:rPr>
                <w:rFonts w:ascii="Times New Roman" w:hAnsi="Times New Roman" w:eastAsia="宋体" w:cs="Times New Roman"/>
                <w:szCs w:val="21"/>
              </w:rPr>
              <w:t>更新指标必填校验</w:t>
            </w:r>
          </w:p>
        </w:tc>
        <w:tc>
          <w:tcPr>
            <w:tcW w:w="7950" w:type="dxa"/>
            <w:shd w:val="clear" w:color="auto" w:fill="auto"/>
            <w:vAlign w:val="center"/>
          </w:tcPr>
          <w:p w14:paraId="62081942">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工业企业水消费账页去除企业事项编码必填校验；</w:t>
            </w:r>
          </w:p>
          <w:p w14:paraId="252C24F6">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工业生产销售账页去除是否在工业产量目录、是否战新产品必填校验</w:t>
            </w:r>
          </w:p>
        </w:tc>
        <w:tc>
          <w:tcPr>
            <w:tcW w:w="2955" w:type="dxa"/>
            <w:shd w:val="clear" w:color="auto" w:fill="auto"/>
            <w:vAlign w:val="center"/>
          </w:tcPr>
          <w:p w14:paraId="1F4BAA81">
            <w:pPr>
              <w:spacing w:line="276" w:lineRule="auto"/>
              <w:rPr>
                <w:rFonts w:ascii="Times New Roman" w:hAnsi="Times New Roman" w:eastAsia="宋体" w:cs="Times New Roman"/>
                <w:szCs w:val="21"/>
              </w:rPr>
            </w:pPr>
            <w:r>
              <w:rPr>
                <w:rFonts w:ascii="Times New Roman" w:hAnsi="Times New Roman" w:eastAsia="宋体" w:cs="Times New Roman"/>
                <w:szCs w:val="21"/>
              </w:rPr>
              <w:t>规上工业</w:t>
            </w:r>
          </w:p>
        </w:tc>
      </w:tr>
      <w:tr w14:paraId="6DCA2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28665061">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15</w:t>
            </w:r>
          </w:p>
        </w:tc>
        <w:tc>
          <w:tcPr>
            <w:tcW w:w="2490" w:type="dxa"/>
            <w:vMerge w:val="continue"/>
            <w:shd w:val="clear" w:color="auto" w:fill="auto"/>
            <w:vAlign w:val="center"/>
          </w:tcPr>
          <w:p w14:paraId="4968F1C3">
            <w:pPr>
              <w:spacing w:line="276" w:lineRule="auto"/>
              <w:rPr>
                <w:rFonts w:ascii="Times New Roman" w:hAnsi="Times New Roman" w:eastAsia="宋体" w:cs="Times New Roman"/>
                <w:szCs w:val="21"/>
              </w:rPr>
            </w:pPr>
          </w:p>
        </w:tc>
        <w:tc>
          <w:tcPr>
            <w:tcW w:w="7950" w:type="dxa"/>
            <w:shd w:val="clear" w:color="auto" w:fill="auto"/>
            <w:vAlign w:val="center"/>
          </w:tcPr>
          <w:p w14:paraId="2782B425">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非工业企业能源消费账页去除企业事项编码必填校验</w:t>
            </w:r>
          </w:p>
        </w:tc>
        <w:tc>
          <w:tcPr>
            <w:tcW w:w="2955" w:type="dxa"/>
            <w:shd w:val="clear" w:color="auto" w:fill="auto"/>
            <w:vAlign w:val="center"/>
          </w:tcPr>
          <w:p w14:paraId="391A9456">
            <w:pPr>
              <w:spacing w:line="276" w:lineRule="auto"/>
              <w:rPr>
                <w:rFonts w:ascii="Times New Roman" w:hAnsi="Times New Roman" w:eastAsia="宋体" w:cs="Times New Roman"/>
                <w:szCs w:val="21"/>
              </w:rPr>
            </w:pPr>
            <w:r>
              <w:rPr>
                <w:rFonts w:ascii="Times New Roman" w:hAnsi="Times New Roman" w:eastAsia="宋体" w:cs="Times New Roman"/>
                <w:szCs w:val="21"/>
              </w:rPr>
              <w:t>资质内建筑业、房地产开发业、限额以上批发和零售、限额以上住宿和餐饮、规上服务业</w:t>
            </w:r>
          </w:p>
        </w:tc>
      </w:tr>
      <w:tr w14:paraId="7631F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5AB59DA1">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16</w:t>
            </w:r>
          </w:p>
        </w:tc>
        <w:tc>
          <w:tcPr>
            <w:tcW w:w="2490" w:type="dxa"/>
            <w:vMerge w:val="continue"/>
            <w:shd w:val="clear" w:color="auto" w:fill="auto"/>
            <w:vAlign w:val="center"/>
          </w:tcPr>
          <w:p w14:paraId="0FA6E5F7">
            <w:pPr>
              <w:spacing w:line="276" w:lineRule="auto"/>
              <w:rPr>
                <w:rFonts w:ascii="Times New Roman" w:hAnsi="Times New Roman" w:eastAsia="宋体" w:cs="Times New Roman"/>
                <w:szCs w:val="21"/>
              </w:rPr>
            </w:pPr>
          </w:p>
        </w:tc>
        <w:tc>
          <w:tcPr>
            <w:tcW w:w="7950" w:type="dxa"/>
            <w:shd w:val="clear" w:color="auto" w:fill="auto"/>
            <w:vAlign w:val="center"/>
          </w:tcPr>
          <w:p w14:paraId="7FC63AE9">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商品销售额账页：增加强制性校验，商品销售额大于等于零售额+批发额；</w:t>
            </w:r>
          </w:p>
          <w:p w14:paraId="512F746E">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商品销售额账页：商品销售收入、商品销售销项税、商品销售额大于等于0更新为核实校验</w:t>
            </w:r>
          </w:p>
        </w:tc>
        <w:tc>
          <w:tcPr>
            <w:tcW w:w="2955" w:type="dxa"/>
            <w:shd w:val="clear" w:color="auto" w:fill="auto"/>
            <w:vAlign w:val="center"/>
          </w:tcPr>
          <w:p w14:paraId="0A1ECBAE">
            <w:pPr>
              <w:spacing w:line="276" w:lineRule="auto"/>
              <w:rPr>
                <w:rFonts w:ascii="Times New Roman" w:hAnsi="Times New Roman" w:eastAsia="宋体" w:cs="Times New Roman"/>
                <w:szCs w:val="21"/>
              </w:rPr>
            </w:pPr>
            <w:r>
              <w:rPr>
                <w:rFonts w:ascii="Times New Roman" w:hAnsi="Times New Roman" w:eastAsia="宋体" w:cs="Times New Roman"/>
                <w:szCs w:val="21"/>
              </w:rPr>
              <w:t>限额以上批发和零售</w:t>
            </w:r>
          </w:p>
        </w:tc>
      </w:tr>
      <w:tr w14:paraId="0D1D6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25AAFD24">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17</w:t>
            </w:r>
          </w:p>
        </w:tc>
        <w:tc>
          <w:tcPr>
            <w:tcW w:w="2490" w:type="dxa"/>
            <w:shd w:val="clear" w:color="auto" w:fill="auto"/>
            <w:vAlign w:val="center"/>
          </w:tcPr>
          <w:p w14:paraId="18F56411">
            <w:pPr>
              <w:spacing w:line="276" w:lineRule="auto"/>
              <w:rPr>
                <w:rFonts w:ascii="Times New Roman" w:hAnsi="Times New Roman" w:eastAsia="宋体" w:cs="Times New Roman"/>
                <w:szCs w:val="21"/>
              </w:rPr>
            </w:pPr>
            <w:r>
              <w:rPr>
                <w:rFonts w:ascii="Times New Roman" w:hAnsi="Times New Roman" w:eastAsia="宋体" w:cs="Times New Roman"/>
                <w:szCs w:val="21"/>
              </w:rPr>
              <w:t>更新账页填报说明</w:t>
            </w:r>
          </w:p>
        </w:tc>
        <w:tc>
          <w:tcPr>
            <w:tcW w:w="7950" w:type="dxa"/>
            <w:shd w:val="clear" w:color="auto" w:fill="auto"/>
            <w:vAlign w:val="center"/>
          </w:tcPr>
          <w:p w14:paraId="6D9545E8">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更新账页的填报说明</w:t>
            </w:r>
          </w:p>
        </w:tc>
        <w:tc>
          <w:tcPr>
            <w:tcW w:w="2955" w:type="dxa"/>
            <w:shd w:val="clear" w:color="auto" w:fill="auto"/>
            <w:vAlign w:val="center"/>
          </w:tcPr>
          <w:p w14:paraId="777FA5C2">
            <w:pPr>
              <w:spacing w:line="276" w:lineRule="auto"/>
              <w:rPr>
                <w:rFonts w:ascii="Times New Roman" w:hAnsi="Times New Roman" w:eastAsia="宋体" w:cs="Times New Roman"/>
                <w:szCs w:val="21"/>
              </w:rPr>
            </w:pPr>
            <w:r>
              <w:rPr>
                <w:rFonts w:ascii="Times New Roman" w:hAnsi="Times New Roman" w:eastAsia="宋体" w:cs="Times New Roman"/>
                <w:szCs w:val="21"/>
              </w:rPr>
              <w:t>限额以上批发和零售</w:t>
            </w:r>
          </w:p>
        </w:tc>
      </w:tr>
      <w:tr w14:paraId="309E3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 w:type="dxa"/>
            <w:vAlign w:val="center"/>
          </w:tcPr>
          <w:p w14:paraId="6E2A299F">
            <w:pPr>
              <w:spacing w:line="276" w:lineRule="auto"/>
              <w:jc w:val="center"/>
              <w:rPr>
                <w:rFonts w:ascii="Times New Roman" w:hAnsi="Times New Roman" w:eastAsia="宋体" w:cs="Times New Roman"/>
                <w:szCs w:val="21"/>
              </w:rPr>
            </w:pPr>
            <w:r>
              <w:rPr>
                <w:rFonts w:ascii="Times New Roman" w:hAnsi="Times New Roman" w:eastAsia="宋体" w:cs="Times New Roman"/>
                <w:szCs w:val="21"/>
              </w:rPr>
              <w:t>18</w:t>
            </w:r>
          </w:p>
        </w:tc>
        <w:tc>
          <w:tcPr>
            <w:tcW w:w="2490" w:type="dxa"/>
            <w:shd w:val="clear" w:color="auto" w:fill="auto"/>
            <w:vAlign w:val="center"/>
          </w:tcPr>
          <w:p w14:paraId="1F07B2F3">
            <w:pPr>
              <w:spacing w:line="276" w:lineRule="auto"/>
              <w:rPr>
                <w:rFonts w:ascii="Times New Roman" w:hAnsi="Times New Roman" w:eastAsia="宋体" w:cs="Times New Roman"/>
                <w:szCs w:val="21"/>
              </w:rPr>
            </w:pPr>
            <w:r>
              <w:rPr>
                <w:rFonts w:ascii="Times New Roman" w:hAnsi="Times New Roman" w:eastAsia="宋体" w:cs="Times New Roman"/>
                <w:szCs w:val="21"/>
              </w:rPr>
              <w:t>增加新行业类型、填报账页</w:t>
            </w:r>
          </w:p>
        </w:tc>
        <w:tc>
          <w:tcPr>
            <w:tcW w:w="7950" w:type="dxa"/>
            <w:shd w:val="clear" w:color="auto" w:fill="auto"/>
            <w:vAlign w:val="center"/>
          </w:tcPr>
          <w:p w14:paraId="41C3F9A6">
            <w:pPr>
              <w:numPr>
                <w:ilvl w:val="0"/>
                <w:numId w:val="8"/>
              </w:numPr>
              <w:spacing w:line="276" w:lineRule="auto"/>
              <w:rPr>
                <w:rFonts w:ascii="Times New Roman" w:hAnsi="Times New Roman" w:eastAsia="宋体" w:cs="Times New Roman"/>
                <w:szCs w:val="21"/>
              </w:rPr>
            </w:pPr>
            <w:r>
              <w:rPr>
                <w:rFonts w:ascii="Times New Roman" w:hAnsi="Times New Roman" w:eastAsia="宋体" w:cs="Times New Roman"/>
                <w:szCs w:val="21"/>
              </w:rPr>
              <w:t>增加规下工业、资质外建筑业、限额以下批发和零售业、限额以下住宿和餐饮业、规下服务业行业类型及相关账页</w:t>
            </w:r>
          </w:p>
        </w:tc>
        <w:tc>
          <w:tcPr>
            <w:tcW w:w="2955" w:type="dxa"/>
            <w:shd w:val="clear" w:color="auto" w:fill="auto"/>
            <w:vAlign w:val="center"/>
          </w:tcPr>
          <w:p w14:paraId="449335D0">
            <w:pPr>
              <w:spacing w:line="276" w:lineRule="auto"/>
              <w:rPr>
                <w:rFonts w:ascii="Times New Roman" w:hAnsi="Times New Roman" w:eastAsia="宋体" w:cs="Times New Roman"/>
                <w:szCs w:val="21"/>
              </w:rPr>
            </w:pPr>
            <w:r>
              <w:rPr>
                <w:rFonts w:ascii="Times New Roman" w:hAnsi="Times New Roman" w:eastAsia="宋体" w:cs="Times New Roman"/>
                <w:szCs w:val="21"/>
              </w:rPr>
              <w:t>规下工业、资质外建筑</w:t>
            </w:r>
          </w:p>
          <w:p w14:paraId="68607101">
            <w:pPr>
              <w:spacing w:line="276" w:lineRule="auto"/>
              <w:rPr>
                <w:rFonts w:ascii="Times New Roman" w:hAnsi="Times New Roman" w:eastAsia="宋体" w:cs="Times New Roman"/>
                <w:szCs w:val="21"/>
              </w:rPr>
            </w:pPr>
            <w:r>
              <w:rPr>
                <w:rFonts w:ascii="Times New Roman" w:hAnsi="Times New Roman" w:eastAsia="宋体" w:cs="Times New Roman"/>
                <w:szCs w:val="21"/>
              </w:rPr>
              <w:t>限额以下批发和零售、</w:t>
            </w:r>
          </w:p>
          <w:p w14:paraId="464EDDD8">
            <w:pPr>
              <w:spacing w:line="276" w:lineRule="auto"/>
              <w:rPr>
                <w:rFonts w:ascii="Times New Roman" w:hAnsi="Times New Roman" w:eastAsia="宋体" w:cs="Times New Roman"/>
                <w:szCs w:val="21"/>
              </w:rPr>
            </w:pPr>
            <w:r>
              <w:rPr>
                <w:rFonts w:ascii="Times New Roman" w:hAnsi="Times New Roman" w:eastAsia="宋体" w:cs="Times New Roman"/>
                <w:szCs w:val="21"/>
              </w:rPr>
              <w:t>限额以下住宿和餐饮、</w:t>
            </w:r>
          </w:p>
          <w:p w14:paraId="321942BC">
            <w:pPr>
              <w:spacing w:line="276" w:lineRule="auto"/>
              <w:rPr>
                <w:rFonts w:ascii="Times New Roman" w:hAnsi="Times New Roman" w:eastAsia="宋体" w:cs="Times New Roman"/>
                <w:szCs w:val="21"/>
              </w:rPr>
            </w:pPr>
            <w:r>
              <w:rPr>
                <w:rFonts w:ascii="Times New Roman" w:hAnsi="Times New Roman" w:eastAsia="宋体" w:cs="Times New Roman"/>
                <w:szCs w:val="21"/>
              </w:rPr>
              <w:t>规下服务业</w:t>
            </w:r>
          </w:p>
        </w:tc>
      </w:tr>
    </w:tbl>
    <w:p w14:paraId="551A7520">
      <w:pPr>
        <w:pStyle w:val="3"/>
        <w:numPr>
          <w:ilvl w:val="0"/>
          <w:numId w:val="14"/>
        </w:numPr>
        <w:bidi w:val="0"/>
      </w:pPr>
      <w:r>
        <w:t>修复、优化清单</w:t>
      </w:r>
    </w:p>
    <w:p w14:paraId="0EC7C09E">
      <w:pPr>
        <w:numPr>
          <w:ilvl w:val="0"/>
          <w:numId w:val="4"/>
        </w:numPr>
        <w:ind w:left="558" w:hanging="558"/>
        <w:jc w:val="left"/>
        <w:rPr>
          <w:rFonts w:ascii="Times New Roman" w:hAnsi="Times New Roman" w:eastAsia="宋体" w:cs="Times New Roman"/>
          <w:sz w:val="28"/>
        </w:rPr>
      </w:pPr>
      <w:r>
        <w:rPr>
          <w:rFonts w:ascii="Times New Roman" w:hAnsi="Times New Roman" w:eastAsia="宋体" w:cs="Times New Roman"/>
          <w:sz w:val="28"/>
        </w:rPr>
        <w:t>研究开发汇总表：修复了汇总失败的问题；</w:t>
      </w:r>
    </w:p>
    <w:p w14:paraId="24EBB9C5">
      <w:pPr>
        <w:numPr>
          <w:ilvl w:val="0"/>
          <w:numId w:val="4"/>
        </w:numPr>
        <w:ind w:left="558" w:hanging="558"/>
        <w:jc w:val="left"/>
        <w:rPr>
          <w:rFonts w:ascii="Times New Roman" w:hAnsi="Times New Roman" w:eastAsia="宋体" w:cs="Times New Roman"/>
          <w:sz w:val="28"/>
        </w:rPr>
      </w:pPr>
      <w:r>
        <w:rPr>
          <w:rFonts w:ascii="Times New Roman" w:hAnsi="Times New Roman" w:eastAsia="宋体" w:cs="Times New Roman"/>
          <w:sz w:val="28"/>
        </w:rPr>
        <w:t>资质内建筑业账页：</w:t>
      </w:r>
    </w:p>
    <w:p w14:paraId="401348FA">
      <w:pPr>
        <w:numPr>
          <w:ilvl w:val="0"/>
          <w:numId w:val="12"/>
        </w:numPr>
        <w:jc w:val="left"/>
        <w:rPr>
          <w:rFonts w:ascii="Times New Roman" w:hAnsi="Times New Roman" w:eastAsia="宋体" w:cs="Times New Roman"/>
          <w:sz w:val="28"/>
        </w:rPr>
      </w:pPr>
      <w:r>
        <w:rPr>
          <w:rFonts w:ascii="Times New Roman" w:hAnsi="Times New Roman" w:eastAsia="宋体" w:cs="Times New Roman"/>
          <w:sz w:val="28"/>
        </w:rPr>
        <w:t>优化了经营账页项目名称可支持换行操作；</w:t>
      </w:r>
    </w:p>
    <w:p w14:paraId="19CB597A">
      <w:pPr>
        <w:numPr>
          <w:ilvl w:val="0"/>
          <w:numId w:val="12"/>
        </w:numPr>
        <w:jc w:val="left"/>
        <w:rPr>
          <w:rFonts w:ascii="Times New Roman" w:hAnsi="Times New Roman" w:eastAsia="宋体" w:cs="Times New Roman"/>
          <w:sz w:val="28"/>
        </w:rPr>
      </w:pPr>
      <w:r>
        <w:rPr>
          <w:rFonts w:ascii="Times New Roman" w:hAnsi="Times New Roman" w:eastAsia="宋体" w:cs="Times New Roman"/>
          <w:sz w:val="28"/>
        </w:rPr>
        <w:t>修复了财务汇总表应收账款未自动汇总的问题；</w:t>
      </w:r>
    </w:p>
    <w:p w14:paraId="224A578E">
      <w:pPr>
        <w:numPr>
          <w:ilvl w:val="0"/>
          <w:numId w:val="4"/>
        </w:numPr>
        <w:ind w:left="558" w:hanging="558"/>
        <w:jc w:val="left"/>
        <w:rPr>
          <w:rFonts w:ascii="Times New Roman" w:hAnsi="Times New Roman" w:eastAsia="宋体" w:cs="Times New Roman"/>
          <w:sz w:val="28"/>
        </w:rPr>
      </w:pPr>
      <w:r>
        <w:rPr>
          <w:rFonts w:ascii="Times New Roman" w:hAnsi="Times New Roman" w:eastAsia="宋体" w:cs="Times New Roman"/>
          <w:sz w:val="28"/>
        </w:rPr>
        <w:t>劳动工资汇总表【季报】：</w:t>
      </w:r>
    </w:p>
    <w:p w14:paraId="77D8A4AB">
      <w:pPr>
        <w:numPr>
          <w:ilvl w:val="0"/>
          <w:numId w:val="15"/>
        </w:numPr>
        <w:jc w:val="left"/>
        <w:rPr>
          <w:rFonts w:ascii="Times New Roman" w:hAnsi="Times New Roman" w:eastAsia="宋体" w:cs="Times New Roman"/>
          <w:sz w:val="28"/>
        </w:rPr>
      </w:pPr>
      <w:r>
        <w:rPr>
          <w:rFonts w:ascii="Times New Roman" w:hAnsi="Times New Roman" w:eastAsia="宋体" w:cs="Times New Roman"/>
          <w:sz w:val="28"/>
        </w:rPr>
        <w:t>优化工资汇总逻辑：正常工资=工资+奖金+津贴和补贴；</w:t>
      </w:r>
    </w:p>
    <w:p w14:paraId="65A58194">
      <w:pPr>
        <w:numPr>
          <w:ilvl w:val="0"/>
          <w:numId w:val="15"/>
        </w:numPr>
        <w:jc w:val="left"/>
        <w:rPr>
          <w:rFonts w:ascii="Times New Roman" w:hAnsi="Times New Roman" w:eastAsia="宋体" w:cs="Times New Roman"/>
          <w:sz w:val="28"/>
        </w:rPr>
      </w:pPr>
      <w:r>
        <w:rPr>
          <w:rFonts w:ascii="Times New Roman" w:hAnsi="Times New Roman" w:eastAsia="宋体" w:cs="Times New Roman"/>
          <w:sz w:val="28"/>
        </w:rPr>
        <w:t>优化离职人员当天不计入平均人数、期末人数</w:t>
      </w:r>
    </w:p>
    <w:p w14:paraId="59F09B8F">
      <w:pPr>
        <w:numPr>
          <w:ilvl w:val="0"/>
          <w:numId w:val="4"/>
        </w:numPr>
        <w:ind w:left="558" w:hanging="558"/>
        <w:jc w:val="left"/>
        <w:rPr>
          <w:rFonts w:ascii="Times New Roman" w:hAnsi="Times New Roman" w:eastAsia="宋体" w:cs="Times New Roman"/>
          <w:sz w:val="28"/>
        </w:rPr>
      </w:pPr>
      <w:r>
        <w:rPr>
          <w:rFonts w:ascii="Times New Roman" w:hAnsi="Times New Roman" w:eastAsia="宋体" w:cs="Times New Roman"/>
          <w:sz w:val="28"/>
        </w:rPr>
        <w:t>规上工业</w:t>
      </w:r>
    </w:p>
    <w:p w14:paraId="26BBE399">
      <w:pPr>
        <w:numPr>
          <w:ilvl w:val="0"/>
          <w:numId w:val="16"/>
        </w:numPr>
        <w:ind w:left="840" w:leftChars="0"/>
        <w:jc w:val="left"/>
        <w:rPr>
          <w:rFonts w:ascii="Times New Roman" w:hAnsi="Times New Roman" w:eastAsia="宋体" w:cs="Times New Roman"/>
          <w:sz w:val="28"/>
        </w:rPr>
      </w:pPr>
      <w:r>
        <w:rPr>
          <w:rFonts w:ascii="Times New Roman" w:hAnsi="Times New Roman" w:eastAsia="宋体" w:cs="Times New Roman"/>
          <w:sz w:val="28"/>
        </w:rPr>
        <w:t>进度法产值明细表</w:t>
      </w:r>
      <w:r>
        <w:rPr>
          <w:rFonts w:ascii="Times New Roman" w:hAnsi="Times New Roman" w:eastAsia="宋体" w:cs="Times New Roman"/>
          <w:b/>
          <w:bCs/>
          <w:sz w:val="28"/>
        </w:rPr>
        <w:t>：</w:t>
      </w:r>
      <w:r>
        <w:rPr>
          <w:rFonts w:ascii="Times New Roman" w:hAnsi="Times New Roman" w:eastAsia="宋体" w:cs="Times New Roman"/>
          <w:sz w:val="28"/>
        </w:rPr>
        <w:t>优化周期型数据填报已过周期时效的项目将不会自动带入至下个月；</w:t>
      </w:r>
    </w:p>
    <w:p w14:paraId="7D33FE19">
      <w:pPr>
        <w:numPr>
          <w:ilvl w:val="0"/>
          <w:numId w:val="16"/>
        </w:numPr>
        <w:ind w:left="840" w:leftChars="0"/>
        <w:jc w:val="left"/>
        <w:rPr>
          <w:rFonts w:ascii="Times New Roman" w:hAnsi="Times New Roman" w:eastAsia="宋体" w:cs="Times New Roman"/>
          <w:sz w:val="28"/>
        </w:rPr>
      </w:pPr>
      <w:r>
        <w:rPr>
          <w:rFonts w:ascii="Times New Roman" w:hAnsi="Times New Roman" w:eastAsia="宋体" w:cs="Times New Roman"/>
          <w:sz w:val="28"/>
        </w:rPr>
        <w:t>生产销售账页：优化产品名称可支持输入首位为0的数据。</w:t>
      </w:r>
    </w:p>
    <w:p w14:paraId="2B0130D9">
      <w:pPr>
        <w:jc w:val="left"/>
        <w:rPr>
          <w:rFonts w:ascii="Times New Roman" w:hAnsi="Times New Roman" w:eastAsia="宋体" w:cs="Times New Roman"/>
          <w:sz w:val="28"/>
        </w:rPr>
      </w:pPr>
    </w:p>
    <w:p w14:paraId="409C2B85">
      <w:pPr>
        <w:jc w:val="left"/>
        <w:rPr>
          <w:rFonts w:ascii="Times New Roman" w:hAnsi="Times New Roman" w:eastAsia="宋体" w:cs="Times New Roman"/>
          <w:sz w:val="28"/>
        </w:rPr>
      </w:pPr>
    </w:p>
    <w:p w14:paraId="6F3D8E16">
      <w:pPr>
        <w:jc w:val="left"/>
        <w:rPr>
          <w:rFonts w:ascii="Times New Roman" w:hAnsi="Times New Roman" w:eastAsia="宋体" w:cs="Times New Roman"/>
          <w:sz w:val="28"/>
        </w:rPr>
      </w:pPr>
    </w:p>
    <w:p w14:paraId="36D801AA">
      <w:pPr>
        <w:jc w:val="left"/>
        <w:rPr>
          <w:rFonts w:ascii="Times New Roman" w:hAnsi="Times New Roman" w:eastAsia="宋体" w:cs="Times New Roman"/>
          <w:sz w:val="28"/>
        </w:rPr>
      </w:pPr>
    </w:p>
    <w:p w14:paraId="0B55078A">
      <w:pPr>
        <w:widowControl/>
        <w:jc w:val="left"/>
        <w:rPr>
          <w:rFonts w:ascii="Times New Roman" w:hAnsi="Times New Roman" w:eastAsia="宋体" w:cs="Times New Roman"/>
          <w:sz w:val="28"/>
        </w:rPr>
      </w:pPr>
    </w:p>
    <w:p w14:paraId="0497838F">
      <w:pPr>
        <w:pStyle w:val="2"/>
        <w:bidi w:val="0"/>
        <w:jc w:val="center"/>
      </w:pPr>
      <w:r>
        <w:t>企业电子统计台账V 1.0.3版修复优化清单</w:t>
      </w:r>
    </w:p>
    <w:p w14:paraId="6826060E">
      <w:pPr>
        <w:pStyle w:val="3"/>
        <w:numPr>
          <w:ilvl w:val="0"/>
          <w:numId w:val="17"/>
        </w:numPr>
        <w:bidi w:val="0"/>
      </w:pPr>
      <w:r>
        <w:t>功能升级</w:t>
      </w:r>
    </w:p>
    <w:p w14:paraId="2E6E8BC9">
      <w:pPr>
        <w:jc w:val="left"/>
        <w:rPr>
          <w:rFonts w:ascii="Times New Roman" w:hAnsi="Times New Roman" w:eastAsia="宋体" w:cs="Times New Roman"/>
          <w:sz w:val="28"/>
        </w:rPr>
      </w:pPr>
      <w:r>
        <w:rPr>
          <w:rFonts w:ascii="Times New Roman" w:hAnsi="Times New Roman" w:eastAsia="宋体" w:cs="Times New Roman"/>
          <w:sz w:val="28"/>
        </w:rPr>
        <w:t>1、劳动工资账页增加工资发放模式选择：</w:t>
      </w:r>
    </w:p>
    <w:p w14:paraId="7DC5A5EE">
      <w:pPr>
        <w:numPr>
          <w:ilvl w:val="0"/>
          <w:numId w:val="18"/>
        </w:numPr>
        <w:jc w:val="left"/>
        <w:rPr>
          <w:rFonts w:ascii="Times New Roman" w:hAnsi="Times New Roman" w:eastAsia="宋体" w:cs="Times New Roman"/>
          <w:sz w:val="28"/>
        </w:rPr>
      </w:pPr>
      <w:r>
        <w:rPr>
          <w:rFonts w:ascii="Times New Roman" w:hAnsi="Times New Roman" w:eastAsia="宋体" w:cs="Times New Roman"/>
          <w:sz w:val="28"/>
        </w:rPr>
        <w:t>增加劳动工资发放模式选择功能，选择本月方法当月、本月发放上月、工资发放不规律；</w:t>
      </w:r>
    </w:p>
    <w:p w14:paraId="63D5F3BB">
      <w:pPr>
        <w:numPr>
          <w:ilvl w:val="0"/>
          <w:numId w:val="18"/>
        </w:numPr>
        <w:jc w:val="left"/>
        <w:rPr>
          <w:rFonts w:ascii="Times New Roman" w:hAnsi="Times New Roman" w:eastAsia="宋体" w:cs="Times New Roman"/>
          <w:sz w:val="28"/>
        </w:rPr>
      </w:pPr>
      <w:r>
        <w:rPr>
          <w:rFonts w:ascii="Times New Roman" w:hAnsi="Times New Roman" w:eastAsia="宋体" w:cs="Times New Roman"/>
          <w:sz w:val="28"/>
        </w:rPr>
        <w:t>选择本月方法上月工资的发放模式将改变从业人员平均人数、员工工资的汇总方式。</w:t>
      </w:r>
    </w:p>
    <w:p w14:paraId="202A593B">
      <w:pPr>
        <w:numPr>
          <w:ilvl w:val="0"/>
          <w:numId w:val="19"/>
        </w:numPr>
        <w:jc w:val="left"/>
        <w:rPr>
          <w:rFonts w:ascii="Times New Roman" w:hAnsi="Times New Roman" w:eastAsia="宋体" w:cs="Times New Roman"/>
          <w:sz w:val="28"/>
        </w:rPr>
      </w:pPr>
      <w:r>
        <w:rPr>
          <w:rFonts w:ascii="Times New Roman" w:hAnsi="Times New Roman" w:eastAsia="宋体" w:cs="Times New Roman"/>
          <w:sz w:val="28"/>
        </w:rPr>
        <w:t>增加台账快捷编辑功能：</w:t>
      </w:r>
    </w:p>
    <w:p w14:paraId="6086A6D3">
      <w:pPr>
        <w:numPr>
          <w:ilvl w:val="0"/>
          <w:numId w:val="20"/>
        </w:numPr>
        <w:jc w:val="left"/>
        <w:rPr>
          <w:rFonts w:ascii="Times New Roman" w:hAnsi="Times New Roman" w:eastAsia="宋体" w:cs="Times New Roman"/>
          <w:sz w:val="28"/>
        </w:rPr>
      </w:pPr>
      <w:r>
        <w:rPr>
          <w:rFonts w:ascii="Times New Roman" w:hAnsi="Times New Roman" w:eastAsia="宋体" w:cs="Times New Roman"/>
          <w:sz w:val="28"/>
        </w:rPr>
        <w:t>预览页面双击台账表单，可直接进入账页编辑状态。</w:t>
      </w:r>
    </w:p>
    <w:p w14:paraId="66367460">
      <w:pPr>
        <w:numPr>
          <w:ilvl w:val="0"/>
          <w:numId w:val="19"/>
        </w:numPr>
        <w:jc w:val="left"/>
        <w:rPr>
          <w:rFonts w:ascii="Times New Roman" w:hAnsi="Times New Roman" w:eastAsia="宋体" w:cs="Times New Roman"/>
          <w:sz w:val="28"/>
        </w:rPr>
      </w:pPr>
      <w:r>
        <w:rPr>
          <w:rFonts w:ascii="Times New Roman" w:hAnsi="Times New Roman" w:eastAsia="宋体" w:cs="Times New Roman"/>
          <w:sz w:val="28"/>
        </w:rPr>
        <w:t>增加汇总表复制功能：</w:t>
      </w:r>
    </w:p>
    <w:p w14:paraId="339DF51E">
      <w:pPr>
        <w:numPr>
          <w:ilvl w:val="0"/>
          <w:numId w:val="21"/>
        </w:numPr>
        <w:jc w:val="left"/>
        <w:rPr>
          <w:rFonts w:ascii="Times New Roman" w:hAnsi="Times New Roman" w:eastAsia="宋体" w:cs="Times New Roman"/>
          <w:sz w:val="28"/>
        </w:rPr>
      </w:pPr>
      <w:r>
        <w:rPr>
          <w:rFonts w:ascii="Times New Roman" w:hAnsi="Times New Roman" w:eastAsia="宋体" w:cs="Times New Roman"/>
          <w:sz w:val="28"/>
        </w:rPr>
        <w:t>可以对汇总表数据进行选择并复制的操作。</w:t>
      </w:r>
    </w:p>
    <w:p w14:paraId="72D40500">
      <w:pPr>
        <w:pStyle w:val="3"/>
        <w:numPr>
          <w:ilvl w:val="0"/>
          <w:numId w:val="17"/>
        </w:numPr>
        <w:bidi w:val="0"/>
      </w:pPr>
      <w:r>
        <w:t>修复</w:t>
      </w:r>
      <w:r>
        <w:rPr>
          <w:rFonts w:hint="eastAsia"/>
          <w:lang w:eastAsia="zh-CN"/>
        </w:rPr>
        <w:t>、</w:t>
      </w:r>
      <w:r>
        <w:t>优化清单</w:t>
      </w:r>
    </w:p>
    <w:p w14:paraId="46AEB13D">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财务账页，应交增值（方法二）季度台账更新模板：修改填报方式，可以逐一填报该季度各月的加计抵减额数据。</w:t>
      </w:r>
    </w:p>
    <w:p w14:paraId="740009DE">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非工业能源消费汇总表：</w:t>
      </w:r>
    </w:p>
    <w:p w14:paraId="319DD7BC">
      <w:pPr>
        <w:numPr>
          <w:ilvl w:val="0"/>
          <w:numId w:val="23"/>
        </w:numPr>
        <w:jc w:val="left"/>
        <w:rPr>
          <w:rFonts w:ascii="Times New Roman" w:hAnsi="Times New Roman" w:eastAsia="宋体" w:cs="Times New Roman"/>
          <w:sz w:val="28"/>
        </w:rPr>
      </w:pPr>
      <w:r>
        <w:rPr>
          <w:rFonts w:ascii="Times New Roman" w:hAnsi="Times New Roman" w:eastAsia="宋体" w:cs="Times New Roman"/>
          <w:sz w:val="28"/>
        </w:rPr>
        <w:t>增加外省市消费量统计；</w:t>
      </w:r>
    </w:p>
    <w:p w14:paraId="54F19C7E">
      <w:pPr>
        <w:numPr>
          <w:ilvl w:val="0"/>
          <w:numId w:val="23"/>
        </w:numPr>
        <w:jc w:val="left"/>
        <w:rPr>
          <w:rFonts w:ascii="Times New Roman" w:hAnsi="Times New Roman" w:eastAsia="宋体" w:cs="Times New Roman"/>
          <w:sz w:val="28"/>
        </w:rPr>
      </w:pPr>
      <w:r>
        <w:rPr>
          <w:rFonts w:ascii="Times New Roman" w:hAnsi="Times New Roman" w:eastAsia="宋体" w:cs="Times New Roman"/>
          <w:sz w:val="28"/>
        </w:rPr>
        <w:t>修改建筑面积、期末车辆使用数、外省市建筑面积通过时点数期别的计算方式。</w:t>
      </w:r>
    </w:p>
    <w:p w14:paraId="3EEE6E31">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修复部分账页指标置空时，保存校验失败问题，如规上工业-生产销售账页、固定资产投资账页；</w:t>
      </w:r>
    </w:p>
    <w:p w14:paraId="6DC838A1">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限上批发零售额：</w:t>
      </w:r>
    </w:p>
    <w:p w14:paraId="769D7363">
      <w:pPr>
        <w:numPr>
          <w:ilvl w:val="0"/>
          <w:numId w:val="24"/>
        </w:numPr>
        <w:jc w:val="left"/>
        <w:rPr>
          <w:rFonts w:ascii="Times New Roman" w:hAnsi="Times New Roman" w:eastAsia="宋体" w:cs="Times New Roman"/>
          <w:sz w:val="28"/>
        </w:rPr>
      </w:pPr>
      <w:r>
        <w:rPr>
          <w:rFonts w:ascii="Times New Roman" w:hAnsi="Times New Roman" w:eastAsia="宋体" w:cs="Times New Roman"/>
          <w:sz w:val="28"/>
        </w:rPr>
        <w:t>修复了经营账页中，实体批发额账页展示空白页问题；</w:t>
      </w:r>
    </w:p>
    <w:p w14:paraId="511F9E16">
      <w:pPr>
        <w:numPr>
          <w:ilvl w:val="0"/>
          <w:numId w:val="25"/>
        </w:numPr>
        <w:tabs>
          <w:tab w:val="clear" w:pos="420"/>
        </w:tabs>
        <w:jc w:val="left"/>
        <w:rPr>
          <w:rFonts w:ascii="Times New Roman" w:hAnsi="Times New Roman" w:eastAsia="宋体" w:cs="Times New Roman"/>
          <w:sz w:val="28"/>
        </w:rPr>
      </w:pPr>
      <w:r>
        <w:rPr>
          <w:rFonts w:ascii="Times New Roman" w:hAnsi="Times New Roman" w:eastAsia="宋体" w:cs="Times New Roman"/>
          <w:sz w:val="28"/>
        </w:rPr>
        <w:t>修复了经营账页中，总体交易汇总中期末商品库余额没有统计问题。</w:t>
      </w:r>
    </w:p>
    <w:p w14:paraId="0F1DD5A8">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修复了财务账页汇总表中累计折旧、本年累计折旧指标没有汇总数据的问题。</w:t>
      </w:r>
    </w:p>
    <w:p w14:paraId="32D9016D">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修复了限上住餐行业，汇总表数据窜行的现象。</w:t>
      </w:r>
    </w:p>
    <w:p w14:paraId="54995CA0">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优化了研究开发账页支持所属项目存在英文、特殊符号的检验。</w:t>
      </w:r>
    </w:p>
    <w:p w14:paraId="0BCCD641">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劳动工资账页：</w:t>
      </w:r>
    </w:p>
    <w:p w14:paraId="4CF6BE1F">
      <w:pPr>
        <w:numPr>
          <w:ilvl w:val="0"/>
          <w:numId w:val="26"/>
        </w:numPr>
        <w:jc w:val="left"/>
        <w:rPr>
          <w:rFonts w:ascii="Times New Roman" w:hAnsi="Times New Roman" w:eastAsia="宋体" w:cs="Times New Roman"/>
          <w:sz w:val="28"/>
        </w:rPr>
      </w:pPr>
      <w:r>
        <w:rPr>
          <w:rFonts w:ascii="Times New Roman" w:hAnsi="Times New Roman" w:eastAsia="宋体" w:cs="Times New Roman"/>
          <w:sz w:val="28"/>
        </w:rPr>
        <w:t>优化了员工工资构成表的模板指标、各公司的计算公式；</w:t>
      </w:r>
    </w:p>
    <w:p w14:paraId="33CE43AA">
      <w:pPr>
        <w:numPr>
          <w:ilvl w:val="0"/>
          <w:numId w:val="26"/>
        </w:numPr>
        <w:jc w:val="left"/>
        <w:rPr>
          <w:rFonts w:ascii="Times New Roman" w:hAnsi="Times New Roman" w:eastAsia="宋体" w:cs="Times New Roman"/>
          <w:sz w:val="28"/>
        </w:rPr>
      </w:pPr>
      <w:r>
        <w:rPr>
          <w:rFonts w:ascii="Times New Roman" w:hAnsi="Times New Roman" w:eastAsia="宋体" w:cs="Times New Roman"/>
          <w:sz w:val="28"/>
        </w:rPr>
        <w:t>优化了汇总表的工资计算公式、补充了应发工资、实发工资指标；</w:t>
      </w:r>
    </w:p>
    <w:p w14:paraId="7BE86060">
      <w:pPr>
        <w:numPr>
          <w:ilvl w:val="0"/>
          <w:numId w:val="26"/>
        </w:numPr>
        <w:jc w:val="left"/>
        <w:rPr>
          <w:rFonts w:ascii="Times New Roman" w:hAnsi="Times New Roman" w:eastAsia="宋体" w:cs="Times New Roman"/>
          <w:sz w:val="28"/>
        </w:rPr>
      </w:pPr>
      <w:r>
        <w:rPr>
          <w:rFonts w:ascii="Times New Roman" w:hAnsi="Times New Roman" w:eastAsia="宋体" w:cs="Times New Roman"/>
          <w:sz w:val="28"/>
        </w:rPr>
        <w:t>优化了季度汇总表根据最终数据进行计算、汇总；</w:t>
      </w:r>
    </w:p>
    <w:p w14:paraId="1716B04A">
      <w:pPr>
        <w:numPr>
          <w:ilvl w:val="0"/>
          <w:numId w:val="26"/>
        </w:numPr>
        <w:jc w:val="left"/>
        <w:rPr>
          <w:rFonts w:ascii="Times New Roman" w:hAnsi="Times New Roman" w:eastAsia="宋体" w:cs="Times New Roman"/>
          <w:sz w:val="28"/>
        </w:rPr>
      </w:pPr>
      <w:r>
        <w:rPr>
          <w:rFonts w:ascii="Times New Roman" w:hAnsi="Times New Roman" w:eastAsia="宋体" w:cs="Times New Roman"/>
          <w:sz w:val="28"/>
        </w:rPr>
        <w:t>优化了人员基本信息表支持填写之前年度离职的人员；</w:t>
      </w:r>
    </w:p>
    <w:p w14:paraId="05B18784">
      <w:pPr>
        <w:numPr>
          <w:ilvl w:val="0"/>
          <w:numId w:val="26"/>
        </w:numPr>
        <w:jc w:val="left"/>
        <w:rPr>
          <w:rFonts w:ascii="Times New Roman" w:hAnsi="Times New Roman" w:eastAsia="宋体" w:cs="Times New Roman"/>
          <w:sz w:val="28"/>
        </w:rPr>
      </w:pPr>
      <w:r>
        <w:rPr>
          <w:rFonts w:ascii="Times New Roman" w:hAnsi="Times New Roman" w:eastAsia="宋体" w:cs="Times New Roman"/>
          <w:sz w:val="28"/>
        </w:rPr>
        <w:t>优化了员工姓名、工号支持存在空格；</w:t>
      </w:r>
    </w:p>
    <w:p w14:paraId="06194D3A">
      <w:pPr>
        <w:numPr>
          <w:ilvl w:val="0"/>
          <w:numId w:val="26"/>
        </w:numPr>
        <w:jc w:val="left"/>
        <w:rPr>
          <w:rFonts w:ascii="Times New Roman" w:hAnsi="Times New Roman" w:eastAsia="宋体" w:cs="Times New Roman"/>
          <w:sz w:val="28"/>
        </w:rPr>
      </w:pPr>
      <w:r>
        <w:rPr>
          <w:rFonts w:ascii="Times New Roman" w:hAnsi="Times New Roman" w:eastAsia="宋体" w:cs="Times New Roman"/>
          <w:sz w:val="28"/>
        </w:rPr>
        <w:t>优化了员工工资构成表中代扣代缴指标的核实校验方式。</w:t>
      </w:r>
    </w:p>
    <w:p w14:paraId="2278DCFF">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企业基本信息：</w:t>
      </w:r>
    </w:p>
    <w:p w14:paraId="5FC23350">
      <w:pPr>
        <w:numPr>
          <w:ilvl w:val="0"/>
          <w:numId w:val="27"/>
        </w:numPr>
        <w:jc w:val="left"/>
        <w:rPr>
          <w:rFonts w:ascii="Times New Roman" w:hAnsi="Times New Roman" w:eastAsia="宋体" w:cs="Times New Roman"/>
          <w:sz w:val="28"/>
        </w:rPr>
      </w:pPr>
      <w:r>
        <w:rPr>
          <w:rFonts w:ascii="Times New Roman" w:hAnsi="Times New Roman" w:eastAsia="宋体" w:cs="Times New Roman"/>
          <w:sz w:val="28"/>
        </w:rPr>
        <w:t>优化了基本信息中展示所选行业类型；</w:t>
      </w:r>
    </w:p>
    <w:p w14:paraId="2B4A7D4D">
      <w:pPr>
        <w:numPr>
          <w:ilvl w:val="0"/>
          <w:numId w:val="27"/>
        </w:numPr>
        <w:jc w:val="left"/>
        <w:rPr>
          <w:rFonts w:ascii="Times New Roman" w:hAnsi="Times New Roman" w:eastAsia="宋体" w:cs="Times New Roman"/>
          <w:sz w:val="28"/>
        </w:rPr>
      </w:pPr>
      <w:r>
        <w:rPr>
          <w:rFonts w:ascii="Times New Roman" w:hAnsi="Times New Roman" w:eastAsia="宋体" w:cs="Times New Roman"/>
          <w:sz w:val="28"/>
        </w:rPr>
        <w:t>补充了程序下方的运营、程序状态信息。</w:t>
      </w:r>
    </w:p>
    <w:p w14:paraId="14376AAA">
      <w:pPr>
        <w:numPr>
          <w:ilvl w:val="0"/>
          <w:numId w:val="22"/>
        </w:numPr>
        <w:ind w:left="768" w:hanging="558"/>
        <w:jc w:val="left"/>
        <w:rPr>
          <w:rFonts w:ascii="Times New Roman" w:hAnsi="Times New Roman" w:eastAsia="宋体" w:cs="Times New Roman"/>
          <w:sz w:val="28"/>
        </w:rPr>
      </w:pPr>
      <w:r>
        <w:rPr>
          <w:rFonts w:ascii="Times New Roman" w:hAnsi="Times New Roman" w:eastAsia="宋体" w:cs="Times New Roman"/>
          <w:sz w:val="28"/>
        </w:rPr>
        <w:t>优化了限上批零-实体批发额、销售类值、商品销售额账页校验：商品销售收入、商品销售增值税、商品销售额、商品销售销项税、零售额支持填写负值、限上批零-实体批发额账页：去掉了实体批发额的必填检验。</w:t>
      </w:r>
    </w:p>
    <w:p w14:paraId="16C60CDD">
      <w:pPr>
        <w:numPr>
          <w:ilvl w:val="0"/>
          <w:numId w:val="22"/>
        </w:numPr>
        <w:ind w:left="768" w:hanging="558"/>
        <w:jc w:val="left"/>
        <w:rPr>
          <w:rFonts w:ascii="Times New Roman" w:hAnsi="Times New Roman" w:eastAsia="华文中宋" w:cs="Times New Roman"/>
          <w:b/>
          <w:sz w:val="36"/>
        </w:rPr>
      </w:pPr>
      <w:r>
        <w:rPr>
          <w:rFonts w:ascii="Times New Roman" w:hAnsi="Times New Roman" w:eastAsia="宋体" w:cs="Times New Roman"/>
          <w:sz w:val="28"/>
        </w:rPr>
        <w:t>优化了非工业能源账页的加载预览速度。</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Segoe UI">
    <w:panose1 w:val="020B0502040204020203"/>
    <w:charset w:val="00"/>
    <w:family w:val="auto"/>
    <w:pitch w:val="default"/>
    <w:sig w:usb0="E4002EFF" w:usb1="C000E47F"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559BA3"/>
    <w:multiLevelType w:val="singleLevel"/>
    <w:tmpl w:val="83559BA3"/>
    <w:lvl w:ilvl="0" w:tentative="0">
      <w:start w:val="1"/>
      <w:numFmt w:val="bullet"/>
      <w:lvlText w:val=""/>
      <w:lvlJc w:val="left"/>
      <w:pPr>
        <w:ind w:left="420" w:hanging="420"/>
      </w:pPr>
      <w:rPr>
        <w:rFonts w:hint="default" w:ascii="Wingdings" w:hAnsi="Wingdings"/>
      </w:rPr>
    </w:lvl>
  </w:abstractNum>
  <w:abstractNum w:abstractNumId="1">
    <w:nsid w:val="888BCCB7"/>
    <w:multiLevelType w:val="singleLevel"/>
    <w:tmpl w:val="888BCCB7"/>
    <w:lvl w:ilvl="0" w:tentative="0">
      <w:start w:val="1"/>
      <w:numFmt w:val="bullet"/>
      <w:lvlText w:val=""/>
      <w:lvlJc w:val="left"/>
      <w:pPr>
        <w:tabs>
          <w:tab w:val="left" w:pos="420"/>
        </w:tabs>
        <w:ind w:left="840" w:hanging="420"/>
      </w:pPr>
      <w:rPr>
        <w:rFonts w:hint="default" w:ascii="Wingdings" w:hAnsi="Wingdings"/>
      </w:rPr>
    </w:lvl>
  </w:abstractNum>
  <w:abstractNum w:abstractNumId="2">
    <w:nsid w:val="A17F9AEC"/>
    <w:multiLevelType w:val="singleLevel"/>
    <w:tmpl w:val="A17F9AEC"/>
    <w:lvl w:ilvl="0" w:tentative="0">
      <w:start w:val="1"/>
      <w:numFmt w:val="chineseCounting"/>
      <w:suff w:val="nothing"/>
      <w:lvlText w:val="%1、"/>
      <w:lvlJc w:val="left"/>
      <w:rPr>
        <w:rFonts w:hint="eastAsia"/>
      </w:rPr>
    </w:lvl>
  </w:abstractNum>
  <w:abstractNum w:abstractNumId="3">
    <w:nsid w:val="A6D9DB22"/>
    <w:multiLevelType w:val="singleLevel"/>
    <w:tmpl w:val="A6D9DB22"/>
    <w:lvl w:ilvl="0" w:tentative="0">
      <w:start w:val="1"/>
      <w:numFmt w:val="decimal"/>
      <w:suff w:val="nothing"/>
      <w:lvlText w:val="%1、"/>
      <w:lvlJc w:val="left"/>
    </w:lvl>
  </w:abstractNum>
  <w:abstractNum w:abstractNumId="4">
    <w:nsid w:val="A8D9B96D"/>
    <w:multiLevelType w:val="singleLevel"/>
    <w:tmpl w:val="A8D9B96D"/>
    <w:lvl w:ilvl="0" w:tentative="0">
      <w:start w:val="1"/>
      <w:numFmt w:val="bullet"/>
      <w:lvlText w:val=""/>
      <w:lvlJc w:val="left"/>
      <w:pPr>
        <w:tabs>
          <w:tab w:val="left" w:pos="420"/>
        </w:tabs>
        <w:ind w:left="840" w:hanging="420"/>
      </w:pPr>
      <w:rPr>
        <w:rFonts w:hint="default" w:ascii="Wingdings" w:hAnsi="Wingdings"/>
      </w:rPr>
    </w:lvl>
  </w:abstractNum>
  <w:abstractNum w:abstractNumId="5">
    <w:nsid w:val="B1FE4076"/>
    <w:multiLevelType w:val="singleLevel"/>
    <w:tmpl w:val="B1FE4076"/>
    <w:lvl w:ilvl="0" w:tentative="0">
      <w:start w:val="1"/>
      <w:numFmt w:val="bullet"/>
      <w:lvlText w:val=""/>
      <w:lvlJc w:val="left"/>
      <w:pPr>
        <w:tabs>
          <w:tab w:val="left" w:pos="420"/>
        </w:tabs>
        <w:ind w:left="840" w:hanging="420"/>
      </w:pPr>
      <w:rPr>
        <w:rFonts w:hint="default" w:ascii="Wingdings" w:hAnsi="Wingdings"/>
      </w:rPr>
    </w:lvl>
  </w:abstractNum>
  <w:abstractNum w:abstractNumId="6">
    <w:nsid w:val="B6B4ABED"/>
    <w:multiLevelType w:val="singleLevel"/>
    <w:tmpl w:val="B6B4ABED"/>
    <w:lvl w:ilvl="0" w:tentative="0">
      <w:start w:val="1"/>
      <w:numFmt w:val="chineseCounting"/>
      <w:suff w:val="nothing"/>
      <w:lvlText w:val="%1、"/>
      <w:lvlJc w:val="left"/>
      <w:rPr>
        <w:rFonts w:hint="eastAsia"/>
      </w:rPr>
    </w:lvl>
  </w:abstractNum>
  <w:abstractNum w:abstractNumId="7">
    <w:nsid w:val="C1F15F49"/>
    <w:multiLevelType w:val="singleLevel"/>
    <w:tmpl w:val="C1F15F49"/>
    <w:lvl w:ilvl="0" w:tentative="0">
      <w:start w:val="1"/>
      <w:numFmt w:val="bullet"/>
      <w:lvlText w:val=""/>
      <w:lvlJc w:val="left"/>
      <w:pPr>
        <w:tabs>
          <w:tab w:val="left" w:pos="420"/>
        </w:tabs>
        <w:ind w:left="840" w:hanging="420"/>
      </w:pPr>
      <w:rPr>
        <w:rFonts w:hint="default" w:ascii="Wingdings" w:hAnsi="Wingdings"/>
      </w:rPr>
    </w:lvl>
  </w:abstractNum>
  <w:abstractNum w:abstractNumId="8">
    <w:nsid w:val="D35501BB"/>
    <w:multiLevelType w:val="singleLevel"/>
    <w:tmpl w:val="D35501BB"/>
    <w:lvl w:ilvl="0" w:tentative="0">
      <w:start w:val="1"/>
      <w:numFmt w:val="bullet"/>
      <w:lvlText w:val=""/>
      <w:lvlJc w:val="left"/>
      <w:pPr>
        <w:tabs>
          <w:tab w:val="left" w:pos="420"/>
        </w:tabs>
        <w:ind w:left="840" w:hanging="420"/>
      </w:pPr>
      <w:rPr>
        <w:rFonts w:hint="default" w:ascii="Wingdings" w:hAnsi="Wingdings"/>
      </w:rPr>
    </w:lvl>
  </w:abstractNum>
  <w:abstractNum w:abstractNumId="9">
    <w:nsid w:val="F39CFFE0"/>
    <w:multiLevelType w:val="singleLevel"/>
    <w:tmpl w:val="F39CFFE0"/>
    <w:lvl w:ilvl="0" w:tentative="0">
      <w:start w:val="1"/>
      <w:numFmt w:val="decimal"/>
      <w:suff w:val="nothing"/>
      <w:lvlText w:val="%1、"/>
      <w:lvlJc w:val="left"/>
      <w:pPr>
        <w:ind w:left="210"/>
      </w:pPr>
      <w:rPr>
        <w:rFonts w:hint="default" w:ascii="宋体" w:hAnsi="宋体" w:eastAsia="宋体" w:cs="宋体"/>
        <w:b w:val="0"/>
        <w:bCs w:val="0"/>
        <w:sz w:val="24"/>
        <w:szCs w:val="24"/>
        <w:lang w:eastAsia="zh-CN"/>
      </w:rPr>
    </w:lvl>
  </w:abstractNum>
  <w:abstractNum w:abstractNumId="10">
    <w:nsid w:val="F4C8B096"/>
    <w:multiLevelType w:val="singleLevel"/>
    <w:tmpl w:val="F4C8B096"/>
    <w:lvl w:ilvl="0" w:tentative="0">
      <w:start w:val="1"/>
      <w:numFmt w:val="chineseCounting"/>
      <w:suff w:val="nothing"/>
      <w:lvlText w:val="%1、"/>
      <w:lvlJc w:val="left"/>
      <w:rPr>
        <w:rFonts w:hint="eastAsia"/>
      </w:rPr>
    </w:lvl>
  </w:abstractNum>
  <w:abstractNum w:abstractNumId="11">
    <w:nsid w:val="F73DE849"/>
    <w:multiLevelType w:val="singleLevel"/>
    <w:tmpl w:val="F73DE849"/>
    <w:lvl w:ilvl="0" w:tentative="0">
      <w:start w:val="1"/>
      <w:numFmt w:val="bullet"/>
      <w:lvlText w:val=""/>
      <w:lvlJc w:val="left"/>
      <w:pPr>
        <w:tabs>
          <w:tab w:val="left" w:pos="420"/>
        </w:tabs>
        <w:ind w:left="840" w:hanging="420"/>
      </w:pPr>
      <w:rPr>
        <w:rFonts w:hint="default" w:ascii="Wingdings" w:hAnsi="Wingdings"/>
      </w:rPr>
    </w:lvl>
  </w:abstractNum>
  <w:abstractNum w:abstractNumId="12">
    <w:nsid w:val="0622A320"/>
    <w:multiLevelType w:val="singleLevel"/>
    <w:tmpl w:val="0622A320"/>
    <w:lvl w:ilvl="0" w:tentative="0">
      <w:start w:val="1"/>
      <w:numFmt w:val="bullet"/>
      <w:lvlText w:val=""/>
      <w:lvlJc w:val="left"/>
      <w:pPr>
        <w:ind w:left="420" w:hanging="420"/>
      </w:pPr>
      <w:rPr>
        <w:rFonts w:hint="default" w:ascii="Wingdings" w:hAnsi="Wingdings"/>
      </w:rPr>
    </w:lvl>
  </w:abstractNum>
  <w:abstractNum w:abstractNumId="13">
    <w:nsid w:val="0A37BD81"/>
    <w:multiLevelType w:val="singleLevel"/>
    <w:tmpl w:val="0A37BD81"/>
    <w:lvl w:ilvl="0" w:tentative="0">
      <w:start w:val="1"/>
      <w:numFmt w:val="bullet"/>
      <w:lvlText w:val=""/>
      <w:lvlJc w:val="left"/>
      <w:pPr>
        <w:tabs>
          <w:tab w:val="left" w:pos="420"/>
        </w:tabs>
        <w:ind w:left="840" w:hanging="420"/>
      </w:pPr>
      <w:rPr>
        <w:rFonts w:hint="default" w:ascii="Wingdings" w:hAnsi="Wingdings"/>
      </w:rPr>
    </w:lvl>
  </w:abstractNum>
  <w:abstractNum w:abstractNumId="14">
    <w:nsid w:val="0A6B074E"/>
    <w:multiLevelType w:val="multilevel"/>
    <w:tmpl w:val="0A6B074E"/>
    <w:lvl w:ilvl="0" w:tentative="0">
      <w:start w:val="1"/>
      <w:numFmt w:val="bullet"/>
      <w:lvlText w:val=""/>
      <w:lvlJc w:val="left"/>
      <w:pPr>
        <w:tabs>
          <w:tab w:val="left" w:pos="420"/>
        </w:tabs>
        <w:ind w:left="840" w:hanging="420"/>
      </w:pPr>
      <w:rPr>
        <w:rFonts w:hint="default" w:ascii="Wingdings" w:hAnsi="Wingdings"/>
      </w:rPr>
    </w:lvl>
    <w:lvl w:ilvl="1" w:tentative="0">
      <w:start w:val="1"/>
      <w:numFmt w:val="bullet"/>
      <w:lvlText w:val=""/>
      <w:lvlJc w:val="left"/>
      <w:pPr>
        <w:tabs>
          <w:tab w:val="left" w:pos="840"/>
        </w:tabs>
        <w:ind w:left="1260" w:hanging="420"/>
      </w:pPr>
      <w:rPr>
        <w:rFonts w:hint="default" w:ascii="Wingdings" w:hAnsi="Wingdings"/>
      </w:rPr>
    </w:lvl>
    <w:lvl w:ilvl="2" w:tentative="0">
      <w:start w:val="1"/>
      <w:numFmt w:val="bullet"/>
      <w:lvlText w:val=""/>
      <w:lvlJc w:val="left"/>
      <w:pPr>
        <w:tabs>
          <w:tab w:val="left" w:pos="1260"/>
        </w:tabs>
        <w:ind w:left="1680" w:hanging="420"/>
      </w:pPr>
      <w:rPr>
        <w:rFonts w:hint="default" w:ascii="Wingdings" w:hAnsi="Wingdings"/>
      </w:rPr>
    </w:lvl>
    <w:lvl w:ilvl="3" w:tentative="0">
      <w:start w:val="1"/>
      <w:numFmt w:val="bullet"/>
      <w:lvlText w:val=""/>
      <w:lvlJc w:val="left"/>
      <w:pPr>
        <w:tabs>
          <w:tab w:val="left" w:pos="1680"/>
        </w:tabs>
        <w:ind w:left="2100" w:hanging="420"/>
      </w:pPr>
      <w:rPr>
        <w:rFonts w:hint="default" w:ascii="Wingdings" w:hAnsi="Wingdings"/>
      </w:rPr>
    </w:lvl>
    <w:lvl w:ilvl="4" w:tentative="0">
      <w:start w:val="1"/>
      <w:numFmt w:val="bullet"/>
      <w:lvlText w:val=""/>
      <w:lvlJc w:val="left"/>
      <w:pPr>
        <w:tabs>
          <w:tab w:val="left" w:pos="2100"/>
        </w:tabs>
        <w:ind w:left="2520" w:hanging="420"/>
      </w:pPr>
      <w:rPr>
        <w:rFonts w:hint="default" w:ascii="Wingdings" w:hAnsi="Wingdings"/>
      </w:rPr>
    </w:lvl>
    <w:lvl w:ilvl="5" w:tentative="0">
      <w:start w:val="1"/>
      <w:numFmt w:val="bullet"/>
      <w:lvlText w:val=""/>
      <w:lvlJc w:val="left"/>
      <w:pPr>
        <w:tabs>
          <w:tab w:val="left" w:pos="2520"/>
        </w:tabs>
        <w:ind w:left="2940" w:hanging="420"/>
      </w:pPr>
      <w:rPr>
        <w:rFonts w:hint="default" w:ascii="Wingdings" w:hAnsi="Wingdings"/>
      </w:rPr>
    </w:lvl>
    <w:lvl w:ilvl="6" w:tentative="0">
      <w:start w:val="1"/>
      <w:numFmt w:val="bullet"/>
      <w:lvlText w:val=""/>
      <w:lvlJc w:val="left"/>
      <w:pPr>
        <w:tabs>
          <w:tab w:val="left" w:pos="2940"/>
        </w:tabs>
        <w:ind w:left="3360" w:hanging="420"/>
      </w:pPr>
      <w:rPr>
        <w:rFonts w:hint="default" w:ascii="Wingdings" w:hAnsi="Wingdings"/>
      </w:rPr>
    </w:lvl>
    <w:lvl w:ilvl="7" w:tentative="0">
      <w:start w:val="1"/>
      <w:numFmt w:val="bullet"/>
      <w:lvlText w:val=""/>
      <w:lvlJc w:val="left"/>
      <w:pPr>
        <w:tabs>
          <w:tab w:val="left" w:pos="3360"/>
        </w:tabs>
        <w:ind w:left="3780" w:hanging="420"/>
      </w:pPr>
      <w:rPr>
        <w:rFonts w:hint="default" w:ascii="Wingdings" w:hAnsi="Wingdings"/>
      </w:rPr>
    </w:lvl>
    <w:lvl w:ilvl="8" w:tentative="0">
      <w:start w:val="1"/>
      <w:numFmt w:val="bullet"/>
      <w:lvlText w:val=""/>
      <w:lvlJc w:val="left"/>
      <w:pPr>
        <w:tabs>
          <w:tab w:val="left" w:pos="3780"/>
        </w:tabs>
        <w:ind w:left="4200" w:hanging="420"/>
      </w:pPr>
      <w:rPr>
        <w:rFonts w:hint="default" w:ascii="Wingdings" w:hAnsi="Wingdings"/>
      </w:rPr>
    </w:lvl>
  </w:abstractNum>
  <w:abstractNum w:abstractNumId="15">
    <w:nsid w:val="0DE954BC"/>
    <w:multiLevelType w:val="singleLevel"/>
    <w:tmpl w:val="0DE954BC"/>
    <w:lvl w:ilvl="0" w:tentative="0">
      <w:start w:val="1"/>
      <w:numFmt w:val="bullet"/>
      <w:lvlText w:val=""/>
      <w:lvlJc w:val="left"/>
      <w:pPr>
        <w:tabs>
          <w:tab w:val="left" w:pos="420"/>
        </w:tabs>
        <w:ind w:left="840" w:hanging="420"/>
      </w:pPr>
      <w:rPr>
        <w:rFonts w:hint="default" w:ascii="Wingdings" w:hAnsi="Wingdings"/>
      </w:rPr>
    </w:lvl>
  </w:abstractNum>
  <w:abstractNum w:abstractNumId="16">
    <w:nsid w:val="27BEF708"/>
    <w:multiLevelType w:val="singleLevel"/>
    <w:tmpl w:val="27BEF708"/>
    <w:lvl w:ilvl="0" w:tentative="0">
      <w:start w:val="2"/>
      <w:numFmt w:val="decimal"/>
      <w:suff w:val="nothing"/>
      <w:lvlText w:val="%1、"/>
      <w:lvlJc w:val="left"/>
    </w:lvl>
  </w:abstractNum>
  <w:abstractNum w:abstractNumId="17">
    <w:nsid w:val="326F678C"/>
    <w:multiLevelType w:val="singleLevel"/>
    <w:tmpl w:val="326F678C"/>
    <w:lvl w:ilvl="0" w:tentative="0">
      <w:start w:val="1"/>
      <w:numFmt w:val="bullet"/>
      <w:lvlText w:val=""/>
      <w:lvlJc w:val="left"/>
      <w:pPr>
        <w:tabs>
          <w:tab w:val="left" w:pos="420"/>
        </w:tabs>
        <w:ind w:left="840" w:hanging="420"/>
      </w:pPr>
      <w:rPr>
        <w:rFonts w:hint="default" w:ascii="Wingdings" w:hAnsi="Wingdings"/>
      </w:rPr>
    </w:lvl>
  </w:abstractNum>
  <w:abstractNum w:abstractNumId="18">
    <w:nsid w:val="3ACC7DD8"/>
    <w:multiLevelType w:val="singleLevel"/>
    <w:tmpl w:val="3ACC7DD8"/>
    <w:lvl w:ilvl="0" w:tentative="0">
      <w:start w:val="1"/>
      <w:numFmt w:val="bullet"/>
      <w:lvlText w:val=""/>
      <w:lvlJc w:val="left"/>
      <w:pPr>
        <w:tabs>
          <w:tab w:val="left" w:pos="420"/>
        </w:tabs>
        <w:ind w:left="840" w:hanging="420"/>
      </w:pPr>
      <w:rPr>
        <w:rFonts w:hint="default" w:ascii="Wingdings" w:hAnsi="Wingdings"/>
      </w:rPr>
    </w:lvl>
  </w:abstractNum>
  <w:abstractNum w:abstractNumId="19">
    <w:nsid w:val="4FC92A57"/>
    <w:multiLevelType w:val="singleLevel"/>
    <w:tmpl w:val="4FC92A57"/>
    <w:lvl w:ilvl="0" w:tentative="0">
      <w:start w:val="1"/>
      <w:numFmt w:val="chineseCounting"/>
      <w:suff w:val="nothing"/>
      <w:lvlText w:val="%1、"/>
      <w:lvlJc w:val="left"/>
      <w:rPr>
        <w:rFonts w:hint="eastAsia"/>
      </w:rPr>
    </w:lvl>
  </w:abstractNum>
  <w:abstractNum w:abstractNumId="20">
    <w:nsid w:val="552D2FA7"/>
    <w:multiLevelType w:val="singleLevel"/>
    <w:tmpl w:val="552D2FA7"/>
    <w:lvl w:ilvl="0" w:tentative="0">
      <w:start w:val="1"/>
      <w:numFmt w:val="bullet"/>
      <w:lvlText w:val=""/>
      <w:lvlJc w:val="left"/>
      <w:pPr>
        <w:tabs>
          <w:tab w:val="left" w:pos="420"/>
        </w:tabs>
        <w:ind w:left="840" w:hanging="420"/>
      </w:pPr>
      <w:rPr>
        <w:rFonts w:hint="default" w:ascii="Wingdings" w:hAnsi="Wingdings"/>
      </w:rPr>
    </w:lvl>
  </w:abstractNum>
  <w:abstractNum w:abstractNumId="21">
    <w:nsid w:val="580255E2"/>
    <w:multiLevelType w:val="singleLevel"/>
    <w:tmpl w:val="580255E2"/>
    <w:lvl w:ilvl="0" w:tentative="0">
      <w:start w:val="1"/>
      <w:numFmt w:val="bullet"/>
      <w:lvlText w:val=""/>
      <w:lvlJc w:val="left"/>
      <w:pPr>
        <w:tabs>
          <w:tab w:val="left" w:pos="420"/>
        </w:tabs>
        <w:ind w:left="840" w:hanging="420"/>
      </w:pPr>
      <w:rPr>
        <w:rFonts w:hint="default" w:ascii="Wingdings" w:hAnsi="Wingdings"/>
      </w:rPr>
    </w:lvl>
  </w:abstractNum>
  <w:abstractNum w:abstractNumId="22">
    <w:nsid w:val="5AEDB221"/>
    <w:multiLevelType w:val="singleLevel"/>
    <w:tmpl w:val="5AEDB221"/>
    <w:lvl w:ilvl="0" w:tentative="0">
      <w:start w:val="1"/>
      <w:numFmt w:val="bullet"/>
      <w:lvlText w:val=""/>
      <w:lvlJc w:val="left"/>
      <w:pPr>
        <w:ind w:left="420" w:hanging="420"/>
      </w:pPr>
      <w:rPr>
        <w:rFonts w:hint="default" w:ascii="Wingdings" w:hAnsi="Wingdings"/>
      </w:rPr>
    </w:lvl>
  </w:abstractNum>
  <w:abstractNum w:abstractNumId="23">
    <w:nsid w:val="5D55170C"/>
    <w:multiLevelType w:val="singleLevel"/>
    <w:tmpl w:val="5D55170C"/>
    <w:lvl w:ilvl="0" w:tentative="0">
      <w:start w:val="1"/>
      <w:numFmt w:val="bullet"/>
      <w:lvlText w:val=""/>
      <w:lvlJc w:val="left"/>
      <w:pPr>
        <w:tabs>
          <w:tab w:val="left" w:pos="420"/>
        </w:tabs>
        <w:ind w:left="840" w:hanging="420"/>
      </w:pPr>
      <w:rPr>
        <w:rFonts w:hint="default" w:ascii="Wingdings" w:hAnsi="Wingdings"/>
      </w:rPr>
    </w:lvl>
  </w:abstractNum>
  <w:abstractNum w:abstractNumId="24">
    <w:nsid w:val="62FCFFC8"/>
    <w:multiLevelType w:val="singleLevel"/>
    <w:tmpl w:val="62FCFFC8"/>
    <w:lvl w:ilvl="0" w:tentative="0">
      <w:start w:val="1"/>
      <w:numFmt w:val="bullet"/>
      <w:lvlText w:val=""/>
      <w:lvlJc w:val="left"/>
      <w:pPr>
        <w:tabs>
          <w:tab w:val="left" w:pos="420"/>
        </w:tabs>
        <w:ind w:left="840" w:hanging="420"/>
      </w:pPr>
      <w:rPr>
        <w:rFonts w:hint="default" w:ascii="Wingdings" w:hAnsi="Wingdings"/>
      </w:rPr>
    </w:lvl>
  </w:abstractNum>
  <w:abstractNum w:abstractNumId="25">
    <w:nsid w:val="739AA1BC"/>
    <w:multiLevelType w:val="singleLevel"/>
    <w:tmpl w:val="739AA1BC"/>
    <w:lvl w:ilvl="0" w:tentative="0">
      <w:start w:val="1"/>
      <w:numFmt w:val="bullet"/>
      <w:lvlText w:val=""/>
      <w:lvlJc w:val="left"/>
      <w:pPr>
        <w:tabs>
          <w:tab w:val="left" w:pos="420"/>
        </w:tabs>
        <w:ind w:left="840" w:hanging="420"/>
      </w:pPr>
      <w:rPr>
        <w:rFonts w:hint="default" w:ascii="Wingdings" w:hAnsi="Wingdings"/>
      </w:rPr>
    </w:lvl>
  </w:abstractNum>
  <w:abstractNum w:abstractNumId="26">
    <w:nsid w:val="7E732382"/>
    <w:multiLevelType w:val="singleLevel"/>
    <w:tmpl w:val="7E732382"/>
    <w:lvl w:ilvl="0" w:tentative="0">
      <w:start w:val="1"/>
      <w:numFmt w:val="bullet"/>
      <w:lvlText w:val=""/>
      <w:lvlJc w:val="left"/>
      <w:pPr>
        <w:ind w:left="420" w:hanging="420"/>
      </w:pPr>
      <w:rPr>
        <w:rFonts w:hint="default" w:ascii="Wingdings" w:hAnsi="Wingdings"/>
      </w:rPr>
    </w:lvl>
  </w:abstractNum>
  <w:num w:numId="1">
    <w:abstractNumId w:val="10"/>
  </w:num>
  <w:num w:numId="2">
    <w:abstractNumId w:val="12"/>
  </w:num>
  <w:num w:numId="3">
    <w:abstractNumId w:val="0"/>
  </w:num>
  <w:num w:numId="4">
    <w:abstractNumId w:val="3"/>
  </w:num>
  <w:num w:numId="5">
    <w:abstractNumId w:val="11"/>
  </w:num>
  <w:num w:numId="6">
    <w:abstractNumId w:val="17"/>
  </w:num>
  <w:num w:numId="7">
    <w:abstractNumId w:val="6"/>
  </w:num>
  <w:num w:numId="8">
    <w:abstractNumId w:val="22"/>
  </w:num>
  <w:num w:numId="9">
    <w:abstractNumId w:val="26"/>
  </w:num>
  <w:num w:numId="10">
    <w:abstractNumId w:val="7"/>
  </w:num>
  <w:num w:numId="11">
    <w:abstractNumId w:val="1"/>
  </w:num>
  <w:num w:numId="12">
    <w:abstractNumId w:val="24"/>
  </w:num>
  <w:num w:numId="13">
    <w:abstractNumId w:val="15"/>
  </w:num>
  <w:num w:numId="14">
    <w:abstractNumId w:val="2"/>
  </w:num>
  <w:num w:numId="15">
    <w:abstractNumId w:val="13"/>
  </w:num>
  <w:num w:numId="16">
    <w:abstractNumId w:val="18"/>
  </w:num>
  <w:num w:numId="17">
    <w:abstractNumId w:val="19"/>
  </w:num>
  <w:num w:numId="18">
    <w:abstractNumId w:val="5"/>
  </w:num>
  <w:num w:numId="19">
    <w:abstractNumId w:val="16"/>
  </w:num>
  <w:num w:numId="20">
    <w:abstractNumId w:val="23"/>
  </w:num>
  <w:num w:numId="21">
    <w:abstractNumId w:val="8"/>
  </w:num>
  <w:num w:numId="22">
    <w:abstractNumId w:val="9"/>
  </w:num>
  <w:num w:numId="23">
    <w:abstractNumId w:val="25"/>
  </w:num>
  <w:num w:numId="24">
    <w:abstractNumId w:val="14"/>
  </w:num>
  <w:num w:numId="25">
    <w:abstractNumId w:val="20"/>
  </w:num>
  <w:num w:numId="26">
    <w:abstractNumId w:val="4"/>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JjNDc5YmMzZmUyODhhYmZlMDZjYjljNjZhNmQzY2UifQ=="/>
  </w:docVars>
  <w:rsids>
    <w:rsidRoot w:val="00A27977"/>
    <w:rsid w:val="000C21E7"/>
    <w:rsid w:val="000E1CC7"/>
    <w:rsid w:val="00134470"/>
    <w:rsid w:val="0017548E"/>
    <w:rsid w:val="00193A01"/>
    <w:rsid w:val="002512D4"/>
    <w:rsid w:val="003847B7"/>
    <w:rsid w:val="003E5614"/>
    <w:rsid w:val="00514233"/>
    <w:rsid w:val="00861B61"/>
    <w:rsid w:val="008822F0"/>
    <w:rsid w:val="008B3F47"/>
    <w:rsid w:val="009573E6"/>
    <w:rsid w:val="00957465"/>
    <w:rsid w:val="009706D8"/>
    <w:rsid w:val="00995EF9"/>
    <w:rsid w:val="009F19A5"/>
    <w:rsid w:val="00A27977"/>
    <w:rsid w:val="00A5747A"/>
    <w:rsid w:val="00AA623F"/>
    <w:rsid w:val="00B2013F"/>
    <w:rsid w:val="00B320E6"/>
    <w:rsid w:val="00BB2271"/>
    <w:rsid w:val="00DD2CCC"/>
    <w:rsid w:val="00E421C6"/>
    <w:rsid w:val="00E423AF"/>
    <w:rsid w:val="00EE2B82"/>
    <w:rsid w:val="00EF39D2"/>
    <w:rsid w:val="00F46263"/>
    <w:rsid w:val="00F512AE"/>
    <w:rsid w:val="00FB03D6"/>
    <w:rsid w:val="01114475"/>
    <w:rsid w:val="02413519"/>
    <w:rsid w:val="0313544C"/>
    <w:rsid w:val="06761250"/>
    <w:rsid w:val="07C31A46"/>
    <w:rsid w:val="082A5712"/>
    <w:rsid w:val="088E5DFD"/>
    <w:rsid w:val="0AF5159B"/>
    <w:rsid w:val="0C195C27"/>
    <w:rsid w:val="0D3606B5"/>
    <w:rsid w:val="0E010994"/>
    <w:rsid w:val="0F445D02"/>
    <w:rsid w:val="0F786D63"/>
    <w:rsid w:val="14267BC3"/>
    <w:rsid w:val="16113E50"/>
    <w:rsid w:val="16716CF0"/>
    <w:rsid w:val="17157B04"/>
    <w:rsid w:val="185716A9"/>
    <w:rsid w:val="19B02DBF"/>
    <w:rsid w:val="1BBD1FB3"/>
    <w:rsid w:val="1C202FE8"/>
    <w:rsid w:val="1CB313EC"/>
    <w:rsid w:val="1DE86633"/>
    <w:rsid w:val="1EE73B4E"/>
    <w:rsid w:val="1EED53FE"/>
    <w:rsid w:val="1F0A0E52"/>
    <w:rsid w:val="20653333"/>
    <w:rsid w:val="21F47C60"/>
    <w:rsid w:val="24A638A7"/>
    <w:rsid w:val="24CF1139"/>
    <w:rsid w:val="2699056D"/>
    <w:rsid w:val="28884DC7"/>
    <w:rsid w:val="299F6982"/>
    <w:rsid w:val="2A715A78"/>
    <w:rsid w:val="2A733719"/>
    <w:rsid w:val="2B8C79C6"/>
    <w:rsid w:val="2C96288A"/>
    <w:rsid w:val="2CC71FDA"/>
    <w:rsid w:val="2D4F2943"/>
    <w:rsid w:val="2ECB7387"/>
    <w:rsid w:val="33174F03"/>
    <w:rsid w:val="35944047"/>
    <w:rsid w:val="36BE0042"/>
    <w:rsid w:val="37BF6CC0"/>
    <w:rsid w:val="3A8422B8"/>
    <w:rsid w:val="3B801CEB"/>
    <w:rsid w:val="3D70539A"/>
    <w:rsid w:val="3DB01E28"/>
    <w:rsid w:val="3E661FAC"/>
    <w:rsid w:val="3FEB34A2"/>
    <w:rsid w:val="416006C8"/>
    <w:rsid w:val="41DB20A8"/>
    <w:rsid w:val="42037764"/>
    <w:rsid w:val="42E828AD"/>
    <w:rsid w:val="4409344C"/>
    <w:rsid w:val="46752F28"/>
    <w:rsid w:val="46850C5E"/>
    <w:rsid w:val="46D71F60"/>
    <w:rsid w:val="48353D62"/>
    <w:rsid w:val="4865096A"/>
    <w:rsid w:val="49814D8B"/>
    <w:rsid w:val="4B270801"/>
    <w:rsid w:val="4EFC6445"/>
    <w:rsid w:val="4F0D0FC7"/>
    <w:rsid w:val="511F2DF0"/>
    <w:rsid w:val="52FF121D"/>
    <w:rsid w:val="5417267F"/>
    <w:rsid w:val="5438608E"/>
    <w:rsid w:val="54C2319C"/>
    <w:rsid w:val="557C0B35"/>
    <w:rsid w:val="55A15289"/>
    <w:rsid w:val="57637BB9"/>
    <w:rsid w:val="57B30EFF"/>
    <w:rsid w:val="5B187CB9"/>
    <w:rsid w:val="5E631F59"/>
    <w:rsid w:val="5EE65064"/>
    <w:rsid w:val="628870E6"/>
    <w:rsid w:val="62D306F0"/>
    <w:rsid w:val="67315153"/>
    <w:rsid w:val="683069C4"/>
    <w:rsid w:val="684D1945"/>
    <w:rsid w:val="688101DB"/>
    <w:rsid w:val="6B4B2A63"/>
    <w:rsid w:val="6BF97506"/>
    <w:rsid w:val="6E761484"/>
    <w:rsid w:val="6F2474E3"/>
    <w:rsid w:val="704352E6"/>
    <w:rsid w:val="704A2F79"/>
    <w:rsid w:val="718B55F7"/>
    <w:rsid w:val="72130E76"/>
    <w:rsid w:val="723D2683"/>
    <w:rsid w:val="726272A4"/>
    <w:rsid w:val="72897FE7"/>
    <w:rsid w:val="73FFF72A"/>
    <w:rsid w:val="75450A73"/>
    <w:rsid w:val="79B11C67"/>
    <w:rsid w:val="7C2D23A0"/>
    <w:rsid w:val="7CE7227B"/>
    <w:rsid w:val="7CFE22A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9"/>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table" w:styleId="5">
    <w:name w:val="Table Grid"/>
    <w:basedOn w:val="4"/>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1970</Words>
  <Characters>2201</Characters>
  <Lines>17</Lines>
  <Paragraphs>4</Paragraphs>
  <TotalTime>11</TotalTime>
  <ScaleCrop>false</ScaleCrop>
  <LinksUpToDate>false</LinksUpToDate>
  <CharactersWithSpaces>2232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2024-01-29T18:07:00Z</dcterms:created>
  <dc:creator>OE-202308-0386</dc:creator>
  <cp:lastModifiedBy>蔚蓝海岸꧂</cp:lastModifiedBy>
  <dcterms:modified xsi:type="dcterms:W3CDTF">2025-03-03T09:47:47Z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755A3D3E81D34DC0AEE4F6614466BA94_13</vt:lpwstr>
  </property>
  <property fmtid="{D5CDD505-2E9C-101B-9397-08002B2CF9AE}" pid="4" name="KSOTemplateDocerSaveRecord">
    <vt:lpwstr>eyJoZGlkIjoiMzJjNDc5YmMzZmUyODhhYmZlMDZjYjljNjZhNmQzY2UiLCJ1c2VySWQiOiI3Mjg1NjgwMTMifQ==</vt:lpwstr>
  </property>
</Properties>
</file>