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F01413" w14:textId="215A3DDF" w:rsidR="00FB5DFB" w:rsidRDefault="003B1E98" w:rsidP="00B912E1">
      <w:pPr>
        <w:spacing w:beforeLines="50" w:before="156" w:afterLines="50" w:after="156" w:line="40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6</w:t>
      </w:r>
      <w:r w:rsidR="00EC0492">
        <w:rPr>
          <w:rFonts w:ascii="黑体" w:eastAsia="黑体" w:hint="eastAsia"/>
          <w:sz w:val="32"/>
          <w:szCs w:val="32"/>
        </w:rPr>
        <w:t>月份本市居民消费价格同比上升</w:t>
      </w:r>
      <w:r>
        <w:rPr>
          <w:rFonts w:ascii="黑体" w:eastAsia="黑体" w:hint="eastAsia"/>
          <w:sz w:val="32"/>
          <w:szCs w:val="32"/>
        </w:rPr>
        <w:t>1</w:t>
      </w:r>
      <w:r w:rsidR="00826B57">
        <w:rPr>
          <w:rFonts w:ascii="黑体" w:eastAsia="黑体" w:hint="eastAsia"/>
          <w:sz w:val="32"/>
          <w:szCs w:val="32"/>
        </w:rPr>
        <w:t>.</w:t>
      </w:r>
      <w:r>
        <w:rPr>
          <w:rFonts w:ascii="黑体" w:eastAsia="黑体" w:hint="eastAsia"/>
          <w:sz w:val="32"/>
          <w:szCs w:val="32"/>
        </w:rPr>
        <w:t>7</w:t>
      </w:r>
      <w:r w:rsidR="00EC0492">
        <w:rPr>
          <w:rFonts w:ascii="黑体" w:eastAsia="黑体" w:hint="eastAsia"/>
          <w:sz w:val="32"/>
          <w:szCs w:val="32"/>
        </w:rPr>
        <w:t>%</w:t>
      </w:r>
    </w:p>
    <w:p w14:paraId="6A3F025A" w14:textId="77777777" w:rsidR="007D6A96" w:rsidRDefault="007D6A96" w:rsidP="00B912E1">
      <w:pPr>
        <w:spacing w:beforeLines="50" w:before="156" w:afterLines="50" w:after="156" w:line="400" w:lineRule="exact"/>
        <w:jc w:val="center"/>
        <w:rPr>
          <w:rFonts w:ascii="黑体" w:eastAsia="黑体"/>
          <w:sz w:val="32"/>
          <w:szCs w:val="32"/>
        </w:rPr>
      </w:pPr>
    </w:p>
    <w:p w14:paraId="4FD2AB1B" w14:textId="0F156F76" w:rsidR="00FB5DFB" w:rsidRDefault="003B1E98" w:rsidP="00E75261">
      <w:pPr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6</w:t>
      </w:r>
      <w:r w:rsidR="00EC0492">
        <w:rPr>
          <w:rFonts w:ascii="宋体" w:hAnsi="宋体" w:hint="eastAsia"/>
          <w:sz w:val="30"/>
          <w:szCs w:val="30"/>
        </w:rPr>
        <w:t>月份，本市居民消费价格总水平比去年同月上升</w:t>
      </w:r>
      <w:r>
        <w:rPr>
          <w:rFonts w:ascii="宋体" w:hAnsi="宋体"/>
          <w:sz w:val="30"/>
          <w:szCs w:val="30"/>
        </w:rPr>
        <w:t>1</w:t>
      </w:r>
      <w:r w:rsidR="004B261A">
        <w:rPr>
          <w:rFonts w:ascii="宋体" w:hAnsi="宋体"/>
          <w:sz w:val="30"/>
          <w:szCs w:val="30"/>
        </w:rPr>
        <w:t>.</w:t>
      </w:r>
      <w:r>
        <w:rPr>
          <w:rFonts w:ascii="宋体" w:hAnsi="宋体" w:hint="eastAsia"/>
          <w:sz w:val="30"/>
          <w:szCs w:val="30"/>
        </w:rPr>
        <w:t>7</w:t>
      </w:r>
      <w:r w:rsidR="00EC0492">
        <w:rPr>
          <w:rFonts w:ascii="宋体" w:hAnsi="宋体" w:hint="eastAsia"/>
          <w:sz w:val="30"/>
          <w:szCs w:val="30"/>
        </w:rPr>
        <w:t>%。从八大类看，食品烟酒类价格上升</w:t>
      </w:r>
      <w:r w:rsidR="00282B02">
        <w:rPr>
          <w:rFonts w:ascii="宋体" w:hAnsi="宋体" w:hint="eastAsia"/>
          <w:sz w:val="30"/>
          <w:szCs w:val="30"/>
        </w:rPr>
        <w:t>5.0</w:t>
      </w:r>
      <w:r w:rsidR="00EC0492">
        <w:rPr>
          <w:rFonts w:ascii="宋体" w:hAnsi="宋体" w:hint="eastAsia"/>
          <w:sz w:val="30"/>
          <w:szCs w:val="30"/>
        </w:rPr>
        <w:t>%</w:t>
      </w:r>
      <w:r w:rsidR="001A7D17">
        <w:rPr>
          <w:rFonts w:ascii="宋体" w:hAnsi="宋体" w:hint="eastAsia"/>
          <w:sz w:val="30"/>
          <w:szCs w:val="30"/>
        </w:rPr>
        <w:t>，衣着类价格</w:t>
      </w:r>
      <w:r w:rsidR="00A5617C">
        <w:rPr>
          <w:rFonts w:ascii="宋体" w:hAnsi="宋体" w:hint="eastAsia"/>
          <w:sz w:val="30"/>
          <w:szCs w:val="30"/>
        </w:rPr>
        <w:t>上升</w:t>
      </w:r>
      <w:r w:rsidR="00282B02">
        <w:rPr>
          <w:rFonts w:ascii="宋体" w:hAnsi="宋体" w:hint="eastAsia"/>
          <w:sz w:val="30"/>
          <w:szCs w:val="30"/>
        </w:rPr>
        <w:t>0.7</w:t>
      </w:r>
      <w:r w:rsidR="00EC0492">
        <w:rPr>
          <w:rFonts w:ascii="宋体" w:hAnsi="宋体" w:hint="eastAsia"/>
          <w:sz w:val="30"/>
          <w:szCs w:val="30"/>
        </w:rPr>
        <w:t>%，居住类价格</w:t>
      </w:r>
      <w:r w:rsidR="001F0C55">
        <w:rPr>
          <w:rFonts w:ascii="宋体" w:hAnsi="宋体" w:hint="eastAsia"/>
          <w:sz w:val="30"/>
          <w:szCs w:val="30"/>
        </w:rPr>
        <w:t>上升</w:t>
      </w:r>
      <w:r w:rsidR="00282B02">
        <w:rPr>
          <w:rFonts w:ascii="宋体" w:hAnsi="宋体" w:hint="eastAsia"/>
          <w:sz w:val="30"/>
          <w:szCs w:val="30"/>
        </w:rPr>
        <w:t>0.7</w:t>
      </w:r>
      <w:r w:rsidR="00EC0492">
        <w:rPr>
          <w:rFonts w:ascii="宋体" w:hAnsi="宋体" w:hint="eastAsia"/>
          <w:sz w:val="30"/>
          <w:szCs w:val="30"/>
        </w:rPr>
        <w:t>%</w:t>
      </w:r>
      <w:r w:rsidR="001A7D17">
        <w:rPr>
          <w:rFonts w:ascii="宋体" w:hAnsi="宋体" w:hint="eastAsia"/>
          <w:sz w:val="30"/>
          <w:szCs w:val="30"/>
        </w:rPr>
        <w:t>，生活用品及服务类价格</w:t>
      </w:r>
      <w:r w:rsidR="004B261A">
        <w:rPr>
          <w:rFonts w:ascii="宋体" w:hAnsi="宋体" w:hint="eastAsia"/>
          <w:sz w:val="30"/>
          <w:szCs w:val="30"/>
        </w:rPr>
        <w:t>下降</w:t>
      </w:r>
      <w:r w:rsidR="00282B02">
        <w:rPr>
          <w:rFonts w:ascii="宋体" w:hAnsi="宋体" w:hint="eastAsia"/>
          <w:sz w:val="30"/>
          <w:szCs w:val="30"/>
        </w:rPr>
        <w:t>0.1</w:t>
      </w:r>
      <w:r w:rsidR="00AA3F3C">
        <w:rPr>
          <w:rFonts w:ascii="宋体" w:hAnsi="宋体" w:hint="eastAsia"/>
          <w:sz w:val="30"/>
          <w:szCs w:val="30"/>
        </w:rPr>
        <w:t>%</w:t>
      </w:r>
      <w:r w:rsidR="00EC0492">
        <w:rPr>
          <w:rFonts w:ascii="宋体" w:hAnsi="宋体" w:hint="eastAsia"/>
          <w:sz w:val="30"/>
          <w:szCs w:val="30"/>
        </w:rPr>
        <w:t>，交通和通信类价格</w:t>
      </w:r>
      <w:r w:rsidR="00F60C01">
        <w:rPr>
          <w:rFonts w:ascii="宋体" w:hAnsi="宋体" w:hint="eastAsia"/>
          <w:sz w:val="30"/>
          <w:szCs w:val="30"/>
        </w:rPr>
        <w:t>下降</w:t>
      </w:r>
      <w:r w:rsidR="00282B02">
        <w:rPr>
          <w:rFonts w:ascii="宋体" w:hAnsi="宋体" w:hint="eastAsia"/>
          <w:sz w:val="30"/>
          <w:szCs w:val="30"/>
        </w:rPr>
        <w:t>4.4</w:t>
      </w:r>
      <w:r w:rsidR="00EC0492">
        <w:rPr>
          <w:rFonts w:ascii="宋体" w:hAnsi="宋体" w:hint="eastAsia"/>
          <w:sz w:val="30"/>
          <w:szCs w:val="30"/>
        </w:rPr>
        <w:t>%</w:t>
      </w:r>
      <w:r w:rsidR="009046BD">
        <w:rPr>
          <w:rFonts w:ascii="宋体" w:hAnsi="宋体" w:hint="eastAsia"/>
          <w:sz w:val="30"/>
          <w:szCs w:val="30"/>
        </w:rPr>
        <w:t>，教育文化和娱乐类价格</w:t>
      </w:r>
      <w:r w:rsidR="00F92955">
        <w:rPr>
          <w:rFonts w:ascii="宋体" w:hAnsi="宋体" w:hint="eastAsia"/>
          <w:sz w:val="30"/>
          <w:szCs w:val="30"/>
        </w:rPr>
        <w:t>上升</w:t>
      </w:r>
      <w:r w:rsidR="00282B02">
        <w:rPr>
          <w:rFonts w:ascii="宋体" w:hAnsi="宋体" w:hint="eastAsia"/>
          <w:sz w:val="30"/>
          <w:szCs w:val="30"/>
        </w:rPr>
        <w:t>3.1</w:t>
      </w:r>
      <w:r w:rsidR="00EC0492">
        <w:rPr>
          <w:rFonts w:ascii="宋体" w:hAnsi="宋体" w:hint="eastAsia"/>
          <w:sz w:val="30"/>
          <w:szCs w:val="30"/>
        </w:rPr>
        <w:t>%，医疗保健类价格上升</w:t>
      </w:r>
      <w:r w:rsidR="00282B02">
        <w:rPr>
          <w:rFonts w:ascii="宋体" w:hAnsi="宋体" w:hint="eastAsia"/>
          <w:sz w:val="30"/>
          <w:szCs w:val="30"/>
        </w:rPr>
        <w:t>1.3</w:t>
      </w:r>
      <w:r w:rsidR="00EC0492">
        <w:rPr>
          <w:rFonts w:ascii="宋体" w:hAnsi="宋体" w:hint="eastAsia"/>
          <w:sz w:val="30"/>
          <w:szCs w:val="30"/>
        </w:rPr>
        <w:t>%，其他用品和服务类价格上升</w:t>
      </w:r>
      <w:r w:rsidR="00F92955">
        <w:rPr>
          <w:rFonts w:ascii="宋体" w:hAnsi="宋体" w:hint="eastAsia"/>
          <w:sz w:val="30"/>
          <w:szCs w:val="30"/>
        </w:rPr>
        <w:t>2</w:t>
      </w:r>
      <w:r w:rsidR="00282B02">
        <w:rPr>
          <w:rFonts w:ascii="宋体" w:hAnsi="宋体" w:hint="eastAsia"/>
          <w:sz w:val="30"/>
          <w:szCs w:val="30"/>
        </w:rPr>
        <w:t>.1</w:t>
      </w:r>
      <w:r w:rsidR="00EC0492">
        <w:rPr>
          <w:rFonts w:ascii="宋体" w:hAnsi="宋体" w:hint="eastAsia"/>
          <w:sz w:val="30"/>
          <w:szCs w:val="30"/>
        </w:rPr>
        <w:t>%。</w:t>
      </w:r>
    </w:p>
    <w:p w14:paraId="3124DB69" w14:textId="53528291" w:rsidR="00464E71" w:rsidRDefault="00464E71" w:rsidP="00E75261">
      <w:pPr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1-</w:t>
      </w:r>
      <w:r w:rsidR="00C60CD7">
        <w:rPr>
          <w:rFonts w:ascii="宋体" w:hAnsi="宋体" w:hint="eastAsia"/>
          <w:sz w:val="30"/>
          <w:szCs w:val="30"/>
        </w:rPr>
        <w:t>6</w:t>
      </w:r>
      <w:bookmarkStart w:id="0" w:name="_GoBack"/>
      <w:bookmarkEnd w:id="0"/>
      <w:r>
        <w:rPr>
          <w:rFonts w:ascii="宋体" w:hAnsi="宋体" w:hint="eastAsia"/>
          <w:sz w:val="30"/>
          <w:szCs w:val="30"/>
        </w:rPr>
        <w:t>月</w:t>
      </w:r>
      <w:r>
        <w:rPr>
          <w:rFonts w:ascii="宋体" w:hAnsi="宋体"/>
          <w:sz w:val="30"/>
          <w:szCs w:val="30"/>
        </w:rPr>
        <w:t>，本市居民消费价格总水平比</w:t>
      </w:r>
      <w:r>
        <w:rPr>
          <w:rFonts w:ascii="宋体" w:hAnsi="宋体" w:hint="eastAsia"/>
          <w:sz w:val="30"/>
          <w:szCs w:val="30"/>
        </w:rPr>
        <w:t>去年</w:t>
      </w:r>
      <w:r>
        <w:rPr>
          <w:rFonts w:ascii="宋体" w:hAnsi="宋体"/>
          <w:sz w:val="30"/>
          <w:szCs w:val="30"/>
        </w:rPr>
        <w:t>同期上升</w:t>
      </w:r>
      <w:r w:rsidR="004B261A">
        <w:rPr>
          <w:rFonts w:ascii="宋体" w:hAnsi="宋体" w:hint="eastAsia"/>
          <w:sz w:val="30"/>
          <w:szCs w:val="30"/>
        </w:rPr>
        <w:t>2</w:t>
      </w:r>
      <w:r w:rsidR="009E63B1">
        <w:rPr>
          <w:rFonts w:ascii="宋体" w:hAnsi="宋体" w:hint="eastAsia"/>
          <w:sz w:val="30"/>
          <w:szCs w:val="30"/>
        </w:rPr>
        <w:t>.7</w:t>
      </w:r>
      <w:r>
        <w:rPr>
          <w:rFonts w:ascii="宋体" w:hAnsi="宋体"/>
          <w:sz w:val="30"/>
          <w:szCs w:val="30"/>
        </w:rPr>
        <w:t>%。</w:t>
      </w:r>
    </w:p>
    <w:p w14:paraId="5FFB0CBD" w14:textId="77777777" w:rsidR="00FB5DFB" w:rsidRPr="00826B57" w:rsidRDefault="00FB5DFB">
      <w:pPr>
        <w:rPr>
          <w:rFonts w:ascii="宋体" w:hAnsi="宋体"/>
          <w:sz w:val="30"/>
          <w:szCs w:val="30"/>
        </w:rPr>
      </w:pPr>
    </w:p>
    <w:p w14:paraId="3D249803" w14:textId="77777777" w:rsidR="00FB5DFB" w:rsidRDefault="00EC0492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附图：</w:t>
      </w:r>
    </w:p>
    <w:p w14:paraId="21DE286C" w14:textId="652B1FCE" w:rsidR="00F82419" w:rsidRDefault="00320B1E" w:rsidP="00E131D6">
      <w:pPr>
        <w:jc w:val="center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201</w:t>
      </w:r>
      <w:r w:rsidR="00E75261">
        <w:rPr>
          <w:rFonts w:ascii="黑体" w:eastAsia="黑体" w:hAnsi="黑体" w:cs="黑体" w:hint="eastAsia"/>
          <w:sz w:val="24"/>
        </w:rPr>
        <w:t>9</w:t>
      </w:r>
      <w:r w:rsidR="00EC0492">
        <w:rPr>
          <w:rFonts w:ascii="黑体" w:eastAsia="黑体" w:hAnsi="黑体" w:cs="黑体" w:hint="eastAsia"/>
          <w:sz w:val="24"/>
        </w:rPr>
        <w:t>年</w:t>
      </w:r>
      <w:r w:rsidR="00E452EB">
        <w:rPr>
          <w:rFonts w:ascii="黑体" w:eastAsia="黑体" w:hAnsi="黑体" w:cs="黑体" w:hint="eastAsia"/>
          <w:sz w:val="24"/>
        </w:rPr>
        <w:t>6</w:t>
      </w:r>
      <w:r w:rsidR="00EC0492">
        <w:rPr>
          <w:rFonts w:ascii="黑体" w:eastAsia="黑体" w:hAnsi="黑体" w:cs="黑体" w:hint="eastAsia"/>
          <w:sz w:val="24"/>
        </w:rPr>
        <w:t>月</w:t>
      </w:r>
      <w:r>
        <w:rPr>
          <w:rFonts w:ascii="黑体" w:eastAsia="黑体" w:hAnsi="黑体" w:cs="黑体" w:hint="eastAsia"/>
          <w:sz w:val="24"/>
        </w:rPr>
        <w:t>-20</w:t>
      </w:r>
      <w:r w:rsidR="00E75261">
        <w:rPr>
          <w:rFonts w:ascii="黑体" w:eastAsia="黑体" w:hAnsi="黑体" w:cs="黑体" w:hint="eastAsia"/>
          <w:sz w:val="24"/>
        </w:rPr>
        <w:t>20</w:t>
      </w:r>
      <w:r w:rsidR="00EC0492">
        <w:rPr>
          <w:rFonts w:ascii="黑体" w:eastAsia="黑体" w:hAnsi="黑体" w:cs="黑体" w:hint="eastAsia"/>
          <w:sz w:val="24"/>
        </w:rPr>
        <w:t>年</w:t>
      </w:r>
      <w:r w:rsidR="00E452EB">
        <w:rPr>
          <w:rFonts w:ascii="黑体" w:eastAsia="黑体" w:hAnsi="黑体" w:cs="黑体" w:hint="eastAsia"/>
          <w:sz w:val="24"/>
        </w:rPr>
        <w:t>6</w:t>
      </w:r>
      <w:r w:rsidR="00EC0492">
        <w:rPr>
          <w:rFonts w:ascii="黑体" w:eastAsia="黑体" w:hAnsi="黑体" w:cs="黑体" w:hint="eastAsia"/>
          <w:sz w:val="24"/>
        </w:rPr>
        <w:t>月上海居民消费价格同比和环比指数走势</w:t>
      </w:r>
    </w:p>
    <w:p w14:paraId="64A0DE17" w14:textId="77777777" w:rsidR="00DB02BB" w:rsidRDefault="00DB02BB" w:rsidP="00E131D6">
      <w:pPr>
        <w:jc w:val="center"/>
        <w:rPr>
          <w:rFonts w:ascii="黑体" w:eastAsia="黑体" w:hAnsi="黑体" w:cs="黑体"/>
          <w:sz w:val="24"/>
        </w:rPr>
      </w:pPr>
    </w:p>
    <w:p w14:paraId="3A915B8D" w14:textId="25DF239F" w:rsidR="00E452EB" w:rsidRDefault="00E452EB" w:rsidP="00E131D6">
      <w:pPr>
        <w:jc w:val="center"/>
        <w:rPr>
          <w:rFonts w:ascii="黑体" w:eastAsia="黑体" w:hAnsi="黑体" w:cs="黑体" w:hint="eastAsia"/>
          <w:sz w:val="24"/>
        </w:rPr>
      </w:pPr>
      <w:r>
        <w:rPr>
          <w:noProof/>
        </w:rPr>
        <w:drawing>
          <wp:inline distT="0" distB="0" distL="0" distR="0" wp14:anchorId="7C6647AD" wp14:editId="6D9A4F9B">
            <wp:extent cx="5274310" cy="2766695"/>
            <wp:effectExtent l="0" t="0" r="0" b="0"/>
            <wp:docPr id="3" name="图表 3">
              <a:extLst xmlns:a="http://schemas.openxmlformats.org/drawingml/2006/main">
                <a:ext uri="{FF2B5EF4-FFF2-40B4-BE49-F238E27FC236}">
                  <a16:creationId xmlns:xdr="http://schemas.openxmlformats.org/drawingml/2006/spreadsheetDrawing" xmlns:a16="http://schemas.microsoft.com/office/drawing/2014/main" xmlns="" xmlns:lc="http://schemas.openxmlformats.org/drawingml/2006/lockedCanvas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A216494" w14:textId="5AB60D69" w:rsidR="00034DC7" w:rsidRPr="00FA2682" w:rsidRDefault="00034DC7" w:rsidP="00FA2682">
      <w:pPr>
        <w:jc w:val="center"/>
        <w:rPr>
          <w:rFonts w:ascii="黑体" w:eastAsia="黑体" w:hAnsi="黑体" w:cs="黑体"/>
          <w:sz w:val="24"/>
        </w:rPr>
      </w:pPr>
    </w:p>
    <w:sectPr w:rsidR="00034DC7" w:rsidRPr="00FA2682" w:rsidSect="00FB5D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E115F" w14:textId="77777777" w:rsidR="00A529C2" w:rsidRDefault="00A529C2" w:rsidP="001A7D17">
      <w:r>
        <w:separator/>
      </w:r>
    </w:p>
  </w:endnote>
  <w:endnote w:type="continuationSeparator" w:id="0">
    <w:p w14:paraId="6B9D94D0" w14:textId="77777777" w:rsidR="00A529C2" w:rsidRDefault="00A529C2" w:rsidP="001A7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A9360E" w14:textId="77777777" w:rsidR="00A529C2" w:rsidRDefault="00A529C2" w:rsidP="001A7D17">
      <w:r>
        <w:separator/>
      </w:r>
    </w:p>
  </w:footnote>
  <w:footnote w:type="continuationSeparator" w:id="0">
    <w:p w14:paraId="25A815BC" w14:textId="77777777" w:rsidR="00A529C2" w:rsidRDefault="00A529C2" w:rsidP="001A7D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51DD"/>
    <w:rsid w:val="000109FA"/>
    <w:rsid w:val="00023E03"/>
    <w:rsid w:val="000261A8"/>
    <w:rsid w:val="00034DC7"/>
    <w:rsid w:val="00036BF9"/>
    <w:rsid w:val="00086ACA"/>
    <w:rsid w:val="000918E3"/>
    <w:rsid w:val="00092CC3"/>
    <w:rsid w:val="00095574"/>
    <w:rsid w:val="000A30FC"/>
    <w:rsid w:val="000A49A8"/>
    <w:rsid w:val="000A72E5"/>
    <w:rsid w:val="000B03AC"/>
    <w:rsid w:val="000C5E4D"/>
    <w:rsid w:val="000D2701"/>
    <w:rsid w:val="000D5EFD"/>
    <w:rsid w:val="0011447D"/>
    <w:rsid w:val="001167F8"/>
    <w:rsid w:val="00135501"/>
    <w:rsid w:val="00137416"/>
    <w:rsid w:val="00146D67"/>
    <w:rsid w:val="00180561"/>
    <w:rsid w:val="00194B5B"/>
    <w:rsid w:val="001A7D17"/>
    <w:rsid w:val="001C4924"/>
    <w:rsid w:val="001D7CCC"/>
    <w:rsid w:val="001F0C55"/>
    <w:rsid w:val="0022178F"/>
    <w:rsid w:val="0022524D"/>
    <w:rsid w:val="00232C1B"/>
    <w:rsid w:val="00282B02"/>
    <w:rsid w:val="00287CB9"/>
    <w:rsid w:val="00292737"/>
    <w:rsid w:val="002A13CC"/>
    <w:rsid w:val="002A6160"/>
    <w:rsid w:val="002D5617"/>
    <w:rsid w:val="002F15C5"/>
    <w:rsid w:val="00320B1E"/>
    <w:rsid w:val="0032555F"/>
    <w:rsid w:val="0036205D"/>
    <w:rsid w:val="00366A46"/>
    <w:rsid w:val="00382FFE"/>
    <w:rsid w:val="003860DE"/>
    <w:rsid w:val="003A224C"/>
    <w:rsid w:val="003B1E98"/>
    <w:rsid w:val="003D1275"/>
    <w:rsid w:val="003E0AD4"/>
    <w:rsid w:val="0040697D"/>
    <w:rsid w:val="00410676"/>
    <w:rsid w:val="0041434C"/>
    <w:rsid w:val="004226F4"/>
    <w:rsid w:val="00436DD6"/>
    <w:rsid w:val="0045783E"/>
    <w:rsid w:val="004619E0"/>
    <w:rsid w:val="00464E71"/>
    <w:rsid w:val="00466737"/>
    <w:rsid w:val="00496E1F"/>
    <w:rsid w:val="004A20E1"/>
    <w:rsid w:val="004A53E6"/>
    <w:rsid w:val="004B261A"/>
    <w:rsid w:val="004D2AB0"/>
    <w:rsid w:val="004D2B81"/>
    <w:rsid w:val="004F58A6"/>
    <w:rsid w:val="00503724"/>
    <w:rsid w:val="00504678"/>
    <w:rsid w:val="00545CA3"/>
    <w:rsid w:val="00550D86"/>
    <w:rsid w:val="00553BAD"/>
    <w:rsid w:val="0056507B"/>
    <w:rsid w:val="00575FFD"/>
    <w:rsid w:val="00591086"/>
    <w:rsid w:val="005A48EE"/>
    <w:rsid w:val="005A7391"/>
    <w:rsid w:val="005B0D79"/>
    <w:rsid w:val="005B6289"/>
    <w:rsid w:val="005C48DC"/>
    <w:rsid w:val="005E6AAE"/>
    <w:rsid w:val="005F52D3"/>
    <w:rsid w:val="006016AF"/>
    <w:rsid w:val="006629A8"/>
    <w:rsid w:val="006718FD"/>
    <w:rsid w:val="006846F4"/>
    <w:rsid w:val="00684C91"/>
    <w:rsid w:val="0069465F"/>
    <w:rsid w:val="006A20B6"/>
    <w:rsid w:val="006A5857"/>
    <w:rsid w:val="006B2625"/>
    <w:rsid w:val="006B325E"/>
    <w:rsid w:val="006D21E7"/>
    <w:rsid w:val="006F0C8C"/>
    <w:rsid w:val="00700F33"/>
    <w:rsid w:val="00711ED8"/>
    <w:rsid w:val="00721BF2"/>
    <w:rsid w:val="0072360E"/>
    <w:rsid w:val="00725E79"/>
    <w:rsid w:val="00730358"/>
    <w:rsid w:val="0074546B"/>
    <w:rsid w:val="00745F8C"/>
    <w:rsid w:val="007479E5"/>
    <w:rsid w:val="00750AEB"/>
    <w:rsid w:val="00751035"/>
    <w:rsid w:val="007543DD"/>
    <w:rsid w:val="007547A0"/>
    <w:rsid w:val="0076545C"/>
    <w:rsid w:val="00765E77"/>
    <w:rsid w:val="007701F5"/>
    <w:rsid w:val="00776D45"/>
    <w:rsid w:val="0079167D"/>
    <w:rsid w:val="007B1509"/>
    <w:rsid w:val="007B3AA1"/>
    <w:rsid w:val="007B6792"/>
    <w:rsid w:val="007D6A96"/>
    <w:rsid w:val="007F7993"/>
    <w:rsid w:val="00811395"/>
    <w:rsid w:val="00826B57"/>
    <w:rsid w:val="008429D9"/>
    <w:rsid w:val="008546C3"/>
    <w:rsid w:val="008569FC"/>
    <w:rsid w:val="00860B6B"/>
    <w:rsid w:val="00863968"/>
    <w:rsid w:val="00865E33"/>
    <w:rsid w:val="00897D00"/>
    <w:rsid w:val="008E4F5B"/>
    <w:rsid w:val="008E5104"/>
    <w:rsid w:val="009046BD"/>
    <w:rsid w:val="00904D7E"/>
    <w:rsid w:val="0091144F"/>
    <w:rsid w:val="00911768"/>
    <w:rsid w:val="00917B9E"/>
    <w:rsid w:val="00927D1C"/>
    <w:rsid w:val="00936233"/>
    <w:rsid w:val="0094213C"/>
    <w:rsid w:val="00947AF5"/>
    <w:rsid w:val="0095457B"/>
    <w:rsid w:val="009702F7"/>
    <w:rsid w:val="00975FB6"/>
    <w:rsid w:val="00986F4F"/>
    <w:rsid w:val="009A44CF"/>
    <w:rsid w:val="009E07D4"/>
    <w:rsid w:val="009E63B1"/>
    <w:rsid w:val="009F48CC"/>
    <w:rsid w:val="00A03D8F"/>
    <w:rsid w:val="00A5238A"/>
    <w:rsid w:val="00A529C2"/>
    <w:rsid w:val="00A5617C"/>
    <w:rsid w:val="00A64378"/>
    <w:rsid w:val="00A75509"/>
    <w:rsid w:val="00AA30F9"/>
    <w:rsid w:val="00AA3F3C"/>
    <w:rsid w:val="00AA7690"/>
    <w:rsid w:val="00AB6EE8"/>
    <w:rsid w:val="00AC1908"/>
    <w:rsid w:val="00AF51DD"/>
    <w:rsid w:val="00B07CC6"/>
    <w:rsid w:val="00B2230A"/>
    <w:rsid w:val="00B273B7"/>
    <w:rsid w:val="00B50C66"/>
    <w:rsid w:val="00B6564B"/>
    <w:rsid w:val="00B65E79"/>
    <w:rsid w:val="00B67B67"/>
    <w:rsid w:val="00B732DF"/>
    <w:rsid w:val="00B743E4"/>
    <w:rsid w:val="00B76377"/>
    <w:rsid w:val="00B81455"/>
    <w:rsid w:val="00B8435D"/>
    <w:rsid w:val="00B9099D"/>
    <w:rsid w:val="00B912E1"/>
    <w:rsid w:val="00B96490"/>
    <w:rsid w:val="00BB38F9"/>
    <w:rsid w:val="00BB77DB"/>
    <w:rsid w:val="00BE221A"/>
    <w:rsid w:val="00BF7B25"/>
    <w:rsid w:val="00C124E7"/>
    <w:rsid w:val="00C215F5"/>
    <w:rsid w:val="00C542E3"/>
    <w:rsid w:val="00C60CD7"/>
    <w:rsid w:val="00C74F40"/>
    <w:rsid w:val="00C921D8"/>
    <w:rsid w:val="00C93633"/>
    <w:rsid w:val="00CE5066"/>
    <w:rsid w:val="00D0355C"/>
    <w:rsid w:val="00D04DAB"/>
    <w:rsid w:val="00D458FE"/>
    <w:rsid w:val="00D50867"/>
    <w:rsid w:val="00D50B71"/>
    <w:rsid w:val="00D541F4"/>
    <w:rsid w:val="00D60876"/>
    <w:rsid w:val="00D65D19"/>
    <w:rsid w:val="00D76BC1"/>
    <w:rsid w:val="00D8507B"/>
    <w:rsid w:val="00D950CE"/>
    <w:rsid w:val="00DB02BB"/>
    <w:rsid w:val="00DC43EC"/>
    <w:rsid w:val="00DE1FEB"/>
    <w:rsid w:val="00DE6E43"/>
    <w:rsid w:val="00E07634"/>
    <w:rsid w:val="00E131D6"/>
    <w:rsid w:val="00E162C0"/>
    <w:rsid w:val="00E423E9"/>
    <w:rsid w:val="00E452EB"/>
    <w:rsid w:val="00E478D0"/>
    <w:rsid w:val="00E75261"/>
    <w:rsid w:val="00E86B3D"/>
    <w:rsid w:val="00E96990"/>
    <w:rsid w:val="00E96AC0"/>
    <w:rsid w:val="00EA7FCA"/>
    <w:rsid w:val="00EB0A70"/>
    <w:rsid w:val="00EC0492"/>
    <w:rsid w:val="00EC7E1C"/>
    <w:rsid w:val="00ED30E3"/>
    <w:rsid w:val="00ED783F"/>
    <w:rsid w:val="00EE5111"/>
    <w:rsid w:val="00EF64CE"/>
    <w:rsid w:val="00F01830"/>
    <w:rsid w:val="00F14840"/>
    <w:rsid w:val="00F30AB4"/>
    <w:rsid w:val="00F34ED5"/>
    <w:rsid w:val="00F60C01"/>
    <w:rsid w:val="00F77D07"/>
    <w:rsid w:val="00F802DA"/>
    <w:rsid w:val="00F82419"/>
    <w:rsid w:val="00F845DB"/>
    <w:rsid w:val="00F92955"/>
    <w:rsid w:val="00FA2682"/>
    <w:rsid w:val="00FA50B7"/>
    <w:rsid w:val="00FA5F9C"/>
    <w:rsid w:val="00FB4C76"/>
    <w:rsid w:val="00FB5DFB"/>
    <w:rsid w:val="00FC67AF"/>
    <w:rsid w:val="00FD2F61"/>
    <w:rsid w:val="2B627754"/>
    <w:rsid w:val="3D0972C2"/>
    <w:rsid w:val="425A28F3"/>
    <w:rsid w:val="560F2FC6"/>
    <w:rsid w:val="58175DBD"/>
    <w:rsid w:val="67140334"/>
    <w:rsid w:val="67EA6955"/>
    <w:rsid w:val="6D4370A6"/>
    <w:rsid w:val="79F43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9C4512"/>
  <w15:docId w15:val="{C4A70B43-3929-4CA8-A777-E9AC8A93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DF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FB5D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B5D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B5D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B5DF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FB5DFB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5DF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yechunyan\Desktop\6&#26376;&#23545;&#22806;&#21457;&#24067;\&#23545;&#22806;&#21457;&#24067;\5&#26376;&#2227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5713513204973751E-2"/>
          <c:y val="4.3885286121235566E-2"/>
          <c:w val="0.86820868444076105"/>
          <c:h val="0.63090542758936163"/>
        </c:manualLayout>
      </c:layout>
      <c:lineChart>
        <c:grouping val="standard"/>
        <c:varyColors val="0"/>
        <c:ser>
          <c:idx val="0"/>
          <c:order val="0"/>
          <c:tx>
            <c:strRef>
              <c:f>Sheet1!$A$31</c:f>
              <c:strCache>
                <c:ptCount val="1"/>
                <c:pt idx="0">
                  <c:v>同比</c:v>
                </c:pt>
              </c:strCache>
            </c:strRef>
          </c:tx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diamond"/>
            <c:size val="7"/>
            <c:spPr>
              <a:solidFill>
                <a:schemeClr val="accent1"/>
              </a:solidFill>
              <a:ln w="9525" cap="flat" cmpd="sng" algn="ctr">
                <a:solidFill>
                  <a:schemeClr val="accent1"/>
                </a:solidFill>
                <a:prstDash val="solid"/>
                <a:round/>
              </a:ln>
              <a:effectLst/>
            </c:spPr>
          </c:marker>
          <c:dLbls>
            <c:dLbl>
              <c:idx val="0"/>
              <c:layout>
                <c:manualLayout>
                  <c:x val="-4.6196251784316432E-2"/>
                  <c:y val="-7.523508495706403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E723-4415-896F-A4B9699FFC78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1132701632634898E-2"/>
                  <c:y val="-4.597699636265018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E723-4415-896F-A4B9699FFC78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0285158937353356E-2"/>
                  <c:y val="-5.261446119880404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E723-4415-896F-A4B9699FFC78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3062502780372806E-2"/>
                  <c:y val="-4.179759853294893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E723-4415-896F-A4B9699FFC78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4647387113140834E-2"/>
                  <c:y val="-4.597699636265018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E723-4415-896F-A4B9699FFC78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2617960426179623E-2"/>
                  <c:y val="3.761754247853242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E723-4415-896F-A4B9699FFC78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8559107052257714E-2"/>
                  <c:y val="-4.597699636265018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E723-4415-896F-A4B9699FFC78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9440718302162579E-2"/>
                  <c:y val="-2.469996019231912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E723-4415-896F-A4B9699FFC78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4647387113140834E-2"/>
                  <c:y val="-5.015672330470941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E723-4415-896F-A4B9699FFC78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9635585025556019E-2"/>
                  <c:y val="4.597699636265018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E723-4415-896F-A4B9699FFC78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0735667174023731E-2"/>
                  <c:y val="-4.597699636265018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E723-4415-896F-A4B9699FFC78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5217759645744399E-2"/>
                  <c:y val="-3.999429705564326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E723-4415-896F-A4B9699FFC78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0434077274106481E-2"/>
                  <c:y val="-5.015683096981110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E723-4415-896F-A4B9699FFC7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horzOverflow="overflow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Sheet1!$X$30:$AJ$30</c:f>
              <c:strCache>
                <c:ptCount val="13"/>
                <c:pt idx="0">
                  <c:v>2019年6月</c:v>
                </c:pt>
                <c:pt idx="1">
                  <c:v>7月</c:v>
                </c:pt>
                <c:pt idx="2">
                  <c:v>8月</c:v>
                </c:pt>
                <c:pt idx="3">
                  <c:v>9月</c:v>
                </c:pt>
                <c:pt idx="4">
                  <c:v>10月</c:v>
                </c:pt>
                <c:pt idx="5">
                  <c:v>11月</c:v>
                </c:pt>
                <c:pt idx="6">
                  <c:v>12月</c:v>
                </c:pt>
                <c:pt idx="7">
                  <c:v>2020年1月</c:v>
                </c:pt>
                <c:pt idx="8">
                  <c:v>2月</c:v>
                </c:pt>
                <c:pt idx="9">
                  <c:v>3月</c:v>
                </c:pt>
                <c:pt idx="10">
                  <c:v>4月</c:v>
                </c:pt>
                <c:pt idx="11">
                  <c:v>5月</c:v>
                </c:pt>
                <c:pt idx="12">
                  <c:v>6月</c:v>
                </c:pt>
              </c:strCache>
            </c:strRef>
          </c:cat>
          <c:val>
            <c:numRef>
              <c:f>Sheet1!$X$31:$AJ$31</c:f>
              <c:numCache>
                <c:formatCode>0.0_ </c:formatCode>
                <c:ptCount val="13"/>
                <c:pt idx="0">
                  <c:v>102.7</c:v>
                </c:pt>
                <c:pt idx="1">
                  <c:v>102.8</c:v>
                </c:pt>
                <c:pt idx="2">
                  <c:v>102.3</c:v>
                </c:pt>
                <c:pt idx="3">
                  <c:v>102.2</c:v>
                </c:pt>
                <c:pt idx="4">
                  <c:v>102.6</c:v>
                </c:pt>
                <c:pt idx="5">
                  <c:v>103.2</c:v>
                </c:pt>
                <c:pt idx="6">
                  <c:v>103.8</c:v>
                </c:pt>
                <c:pt idx="7">
                  <c:v>104.3</c:v>
                </c:pt>
                <c:pt idx="8">
                  <c:v>103</c:v>
                </c:pt>
                <c:pt idx="9">
                  <c:v>102.8</c:v>
                </c:pt>
                <c:pt idx="10">
                  <c:v>102.5</c:v>
                </c:pt>
                <c:pt idx="11">
                  <c:v>102</c:v>
                </c:pt>
                <c:pt idx="12">
                  <c:v>101.7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D-E723-4415-896F-A4B9699FFC78}"/>
            </c:ext>
          </c:extLst>
        </c:ser>
        <c:ser>
          <c:idx val="1"/>
          <c:order val="1"/>
          <c:tx>
            <c:strRef>
              <c:f>Sheet1!$A$32</c:f>
              <c:strCache>
                <c:ptCount val="1"/>
                <c:pt idx="0">
                  <c:v>环比</c:v>
                </c:pt>
              </c:strCache>
            </c:strRef>
          </c:tx>
          <c:spPr>
            <a:ln w="28575" cap="rnd" cmpd="sng" algn="ctr">
              <a:solidFill>
                <a:schemeClr val="accent2"/>
              </a:solidFill>
              <a:prstDash val="solid"/>
              <a:round/>
            </a:ln>
            <a:effectLst/>
          </c:spPr>
          <c:marker>
            <c:symbol val="square"/>
            <c:size val="7"/>
            <c:spPr>
              <a:solidFill>
                <a:schemeClr val="accent2"/>
              </a:solidFill>
              <a:ln w="9525" cap="flat" cmpd="sng" algn="ctr">
                <a:solidFill>
                  <a:schemeClr val="accent2"/>
                </a:solidFill>
                <a:prstDash val="solid"/>
                <a:round/>
              </a:ln>
              <a:effectLst/>
            </c:spPr>
          </c:marker>
          <c:dLbls>
            <c:dLbl>
              <c:idx val="0"/>
              <c:layout>
                <c:manualLayout>
                  <c:x val="-5.2085818059465189E-2"/>
                  <c:y val="-4.019022989641533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E723-4415-896F-A4B9699FFC78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0989013104601346E-2"/>
                  <c:y val="3.919757878956417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E723-4415-896F-A4B9699FFC78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6800546160806448E-2"/>
                  <c:y val="4.520035121102870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E723-4415-896F-A4B9699FFC78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9699878120839596E-2"/>
                  <c:y val="4.784064505382506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E723-4415-896F-A4B9699FFC78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2140126973502022E-2"/>
                  <c:y val="6.816514823420467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E723-4415-896F-A4B9699FFC78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4972677595628415E-2"/>
                  <c:y val="5.015672330470931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E723-4415-896F-A4B9699FFC78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5.6830601092896428E-2"/>
                  <c:y val="-3.761754247853222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E723-4415-896F-A4B9699FFC78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6802767530680819E-2"/>
                  <c:y val="-4.657131644847735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E723-4415-896F-A4B9699FFC78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4037902493709818E-2"/>
                  <c:y val="4.502474569667676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6-E723-4415-896F-A4B9699FFC78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8388381347009073E-2"/>
                  <c:y val="-5.397865066077926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7-E723-4415-896F-A4B9699FFC78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1766640651957246E-2"/>
                  <c:y val="-4.538273250085409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8-E723-4415-896F-A4B9699FFC78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6569671785196496E-2"/>
                  <c:y val="-5.015683096981116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9-E723-4415-896F-A4B9699FFC78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9980066907660754E-2"/>
                  <c:y val="-4.731411083474730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CN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A-E723-4415-896F-A4B9699FFC7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horzOverflow="overflow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Sheet1!$X$30:$AJ$30</c:f>
              <c:strCache>
                <c:ptCount val="13"/>
                <c:pt idx="0">
                  <c:v>2019年6月</c:v>
                </c:pt>
                <c:pt idx="1">
                  <c:v>7月</c:v>
                </c:pt>
                <c:pt idx="2">
                  <c:v>8月</c:v>
                </c:pt>
                <c:pt idx="3">
                  <c:v>9月</c:v>
                </c:pt>
                <c:pt idx="4">
                  <c:v>10月</c:v>
                </c:pt>
                <c:pt idx="5">
                  <c:v>11月</c:v>
                </c:pt>
                <c:pt idx="6">
                  <c:v>12月</c:v>
                </c:pt>
                <c:pt idx="7">
                  <c:v>2020年1月</c:v>
                </c:pt>
                <c:pt idx="8">
                  <c:v>2月</c:v>
                </c:pt>
                <c:pt idx="9">
                  <c:v>3月</c:v>
                </c:pt>
                <c:pt idx="10">
                  <c:v>4月</c:v>
                </c:pt>
                <c:pt idx="11">
                  <c:v>5月</c:v>
                </c:pt>
                <c:pt idx="12">
                  <c:v>6月</c:v>
                </c:pt>
              </c:strCache>
            </c:strRef>
          </c:cat>
          <c:val>
            <c:numRef>
              <c:f>Sheet1!$X$32:$AJ$32</c:f>
              <c:numCache>
                <c:formatCode>0.0_ </c:formatCode>
                <c:ptCount val="13"/>
                <c:pt idx="0">
                  <c:v>99.9</c:v>
                </c:pt>
                <c:pt idx="1">
                  <c:v>100.3</c:v>
                </c:pt>
                <c:pt idx="2">
                  <c:v>100.3</c:v>
                </c:pt>
                <c:pt idx="3">
                  <c:v>100.4</c:v>
                </c:pt>
                <c:pt idx="4">
                  <c:v>100.6</c:v>
                </c:pt>
                <c:pt idx="5">
                  <c:v>100.2</c:v>
                </c:pt>
                <c:pt idx="6">
                  <c:v>100.3</c:v>
                </c:pt>
                <c:pt idx="7">
                  <c:v>101.1</c:v>
                </c:pt>
                <c:pt idx="8">
                  <c:v>100.3</c:v>
                </c:pt>
                <c:pt idx="9">
                  <c:v>99.2</c:v>
                </c:pt>
                <c:pt idx="10">
                  <c:v>99.9</c:v>
                </c:pt>
                <c:pt idx="11">
                  <c:v>99.5</c:v>
                </c:pt>
                <c:pt idx="12">
                  <c:v>99.7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B-E723-4415-896F-A4B9699FFC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55004512"/>
        <c:axId val="255005632"/>
      </c:lineChart>
      <c:catAx>
        <c:axId val="255004512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noFill/>
          <a:ln w="9525" cap="flat" cmpd="sng" algn="ctr">
            <a:solidFill>
              <a:schemeClr val="tx1">
                <a:lumMod val="50000"/>
                <a:lumOff val="50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horzOverflow="overflow" vert="horz" wrap="square" anchor="ctr" anchorCtr="1" forceAA="0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55005632"/>
        <c:crossesAt val="100"/>
        <c:auto val="1"/>
        <c:lblAlgn val="ctr"/>
        <c:lblOffset val="100"/>
        <c:noMultiLvlLbl val="0"/>
      </c:catAx>
      <c:valAx>
        <c:axId val="255005632"/>
        <c:scaling>
          <c:orientation val="minMax"/>
          <c:max val="105"/>
          <c:min val="98"/>
        </c:scaling>
        <c:delete val="0"/>
        <c:axPos val="l"/>
        <c:numFmt formatCode="0_ " sourceLinked="0"/>
        <c:majorTickMark val="in"/>
        <c:minorTickMark val="none"/>
        <c:tickLblPos val="nextTo"/>
        <c:spPr>
          <a:noFill/>
          <a:ln w="9525" cap="flat" cmpd="sng" algn="ctr">
            <a:solidFill>
              <a:schemeClr val="tx1">
                <a:lumMod val="50000"/>
                <a:lumOff val="50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horzOverflow="overflow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55004512"/>
        <c:crosses val="autoZero"/>
        <c:crossBetween val="between"/>
        <c:majorUnit val="1"/>
      </c:valAx>
      <c:spPr>
        <a:solidFill>
          <a:schemeClr val="bg1"/>
        </a:solid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3148095767698024"/>
          <c:y val="0.89213727721109082"/>
          <c:w val="0.57726058756199927"/>
          <c:h val="6.4836548532903465E-2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horzOverflow="overflow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 rot="0" spcFirstLastPara="0" vertOverflow="ellipsis" horzOverflow="overflow" vert="horz" wrap="square" anchor="ctr" anchorCtr="1"/>
    <a:lstStyle/>
    <a:p>
      <a:pPr>
        <a:defRPr lang="zh-CN"/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6F0BC1-DE1E-4072-A1BF-FB07C4CBF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sunliang</dc:creator>
  <cp:lastModifiedBy>马富海(拟稿)</cp:lastModifiedBy>
  <cp:revision>81</cp:revision>
  <cp:lastPrinted>2020-03-10T02:08:00Z</cp:lastPrinted>
  <dcterms:created xsi:type="dcterms:W3CDTF">2018-02-09T07:24:00Z</dcterms:created>
  <dcterms:modified xsi:type="dcterms:W3CDTF">2020-07-08T07:15:00Z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