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700" w:lineRule="exact"/>
        <w:ind w:left="0" w:right="0"/>
        <w:jc w:val="center"/>
        <w:textAlignment w:val="auto"/>
        <w:outlineLvl w:val="0"/>
        <w:rPr>
          <w:rFonts w:hint="eastAsia" w:ascii="方正小标宋简体" w:hAnsi="方正小标宋简体" w:eastAsia="方正小标宋简体" w:cs="方正小标宋简体"/>
          <w:kern w:val="2"/>
          <w:sz w:val="44"/>
          <w:szCs w:val="44"/>
          <w:lang w:val="en-US" w:eastAsia="zh-CN" w:bidi="ar"/>
        </w:rPr>
      </w:pPr>
      <w:r>
        <w:rPr>
          <w:rFonts w:hint="eastAsia" w:ascii="方正小标宋简体" w:hAnsi="方正小标宋简体" w:eastAsia="方正小标宋简体" w:cs="方正小标宋简体"/>
          <w:kern w:val="2"/>
          <w:sz w:val="44"/>
          <w:szCs w:val="44"/>
          <w:lang w:val="en-US" w:eastAsia="zh-CN" w:bidi="ar"/>
        </w:rPr>
        <w:t>2024年我市居民收入和消费支出情况</w:t>
      </w:r>
    </w:p>
    <w:p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2024年，我市认真贯彻落实党中央、国务院决策部署和市委、市政府工作要求，经济运行回升向好，就业形势总体稳定，居民收入稳步增长，居民消费支出与上年基本持平。</w:t>
      </w:r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0" w:lineRule="exact"/>
        <w:ind w:left="0" w:right="0" w:firstLine="640" w:firstLineChars="200"/>
        <w:jc w:val="both"/>
        <w:textAlignment w:val="auto"/>
        <w:rPr>
          <w:rFonts w:hint="default" w:ascii="黑体" w:hAnsi="黑体" w:eastAsia="黑体" w:cs="黑体"/>
          <w:kern w:val="2"/>
          <w:sz w:val="32"/>
          <w:szCs w:val="32"/>
          <w:lang w:val="en-US" w:eastAsia="zh-CN" w:bidi="ar"/>
        </w:rPr>
      </w:pPr>
      <w:r>
        <w:rPr>
          <w:rFonts w:hint="eastAsia" w:ascii="黑体" w:hAnsi="黑体" w:eastAsia="黑体" w:cs="黑体"/>
          <w:kern w:val="2"/>
          <w:sz w:val="32"/>
          <w:szCs w:val="32"/>
          <w:lang w:val="en-US" w:eastAsia="zh-CN" w:bidi="ar"/>
        </w:rPr>
        <w:t>一、居民收入平稳增长，城乡居民收入相对差距进一步缩小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0" w:lineRule="exact"/>
        <w:ind w:leftChars="0" w:right="0" w:rightChars="0" w:firstLine="640" w:firstLineChars="200"/>
        <w:jc w:val="both"/>
        <w:textAlignment w:val="auto"/>
        <w:rPr>
          <w:rFonts w:hint="eastAsia" w:ascii="楷体_GB2312" w:hAnsi="楷体_GB2312" w:eastAsia="楷体_GB2312" w:cs="楷体_GB2312"/>
          <w:color w:val="000000"/>
          <w:kern w:val="2"/>
          <w:sz w:val="32"/>
          <w:szCs w:val="32"/>
          <w:lang w:val="en-US" w:eastAsia="zh-CN" w:bidi="ar"/>
        </w:rPr>
      </w:pPr>
      <w:r>
        <w:rPr>
          <w:rFonts w:hint="eastAsia" w:ascii="楷体_GB2312" w:hAnsi="楷体_GB2312" w:eastAsia="楷体_GB2312" w:cs="楷体_GB2312"/>
          <w:color w:val="000000"/>
          <w:kern w:val="2"/>
          <w:sz w:val="32"/>
          <w:szCs w:val="32"/>
          <w:lang w:val="en-US" w:eastAsia="zh-CN" w:bidi="ar"/>
        </w:rPr>
        <w:t>（一）居民收入稳步增长，农村居民收入增长继续快于城镇居民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2024年，我市居民人均可支配收入88366元，比上年名义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增长4.2%，扣除价格因素，实际增长4.2%。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农村居民收入增长继续快于城镇居民，城乡居民收入相对差距缩小。分城乡看，城镇居民人均可支配收入93095元，比上年名义增长4.0%，扣除价格因素，实际增长4.0%；农村居民人均可支配收入45644元，比上年名义增长6.2%，扣除价格因素，实际增长6.2%。农村居民收入名义和实际增速比城镇居民均快2.2个百分点。2024年，城乡居民收入比由上年的2.08降至2.04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0" w:lineRule="exact"/>
        <w:ind w:leftChars="0" w:right="0" w:rightChars="0" w:firstLine="640" w:firstLineChars="200"/>
        <w:jc w:val="both"/>
        <w:textAlignment w:val="auto"/>
        <w:rPr>
          <w:rFonts w:hint="eastAsia" w:ascii="楷体_GB2312" w:hAnsi="楷体_GB2312" w:eastAsia="楷体_GB2312" w:cs="楷体_GB2312"/>
          <w:color w:val="000000"/>
          <w:kern w:val="2"/>
          <w:sz w:val="32"/>
          <w:szCs w:val="32"/>
          <w:lang w:val="en-US" w:eastAsia="zh-CN" w:bidi="ar"/>
        </w:rPr>
      </w:pPr>
      <w:r>
        <w:rPr>
          <w:rFonts w:hint="eastAsia" w:ascii="楷体_GB2312" w:hAnsi="楷体_GB2312" w:eastAsia="楷体_GB2312" w:cs="楷体_GB2312"/>
          <w:color w:val="000000"/>
          <w:kern w:val="2"/>
          <w:sz w:val="32"/>
          <w:szCs w:val="32"/>
          <w:lang w:val="en-US" w:eastAsia="zh-CN" w:bidi="ar"/>
        </w:rPr>
        <w:t>（二）工资性收入和转移净收入稳定增长是支撑居民收入增长的重要因素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工资性收入稳定增长。2024年，我市经济运行回升向好，就业形势总体稳定，城镇调查失业率保持低位，保障了居民工资性收入增长。我市居民人均工资性收入55999元，比上年增长（以下如无特别说明，均为名义增长）5.1%，快于居民收入增速0.9个百分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转移净收入平稳增长。2024年，我市持续加强民生保障和改善工作，继续上调养老金、最低生活保障标准等多项民生保障标准。我市居民人均转移净收入20081元，比上年增长4.5%，快于居民收入增速0.3个百分点。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经营净收入增长较快。2024年，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我市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居民节假日旅游出行、文化娱乐活动需求旺盛，餐饮、文娱、交通、物流、住宿等消费领域经营形势好转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。我市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居民人均经营净收入1772元，比上年增长11.3%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，快于居民收入增速7.1个百分点。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财产净收入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有所下降。2024年，我市房地产价格与房屋租赁市场价格有所波动，居民自有住房折算租金收入同步受到影响，出现一定幅度下降。我市居民人均财产净收入10514元，比上年下降2.3%，慢于居民收入增速6.5个百分点。</w:t>
      </w:r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0" w:lineRule="exact"/>
        <w:ind w:left="0" w:right="0" w:firstLine="640" w:firstLineChars="200"/>
        <w:jc w:val="both"/>
        <w:textAlignment w:val="auto"/>
        <w:rPr>
          <w:rFonts w:hint="default" w:ascii="黑体" w:hAnsi="黑体" w:eastAsia="黑体" w:cs="黑体"/>
          <w:kern w:val="2"/>
          <w:sz w:val="32"/>
          <w:szCs w:val="32"/>
          <w:lang w:val="en-US" w:eastAsia="zh-CN" w:bidi="ar"/>
        </w:rPr>
      </w:pPr>
      <w:r>
        <w:rPr>
          <w:rFonts w:hint="eastAsia" w:ascii="黑体" w:hAnsi="黑体" w:eastAsia="黑体" w:cs="黑体"/>
          <w:kern w:val="2"/>
          <w:sz w:val="32"/>
          <w:szCs w:val="32"/>
          <w:lang w:val="en-US" w:eastAsia="zh-CN" w:bidi="ar"/>
        </w:rPr>
        <w:t>二、居民消费支出与上年基本持平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2024年，我市居民人均消费支出52722元，比上年名义增长0.4%，扣除价格因素，实际增长0.4%。分城乡看，城镇居民人均消费支出54980元，比上年名义增长0.1%，扣除价格因素，实际增长0.1%；农村居民人均消费支出32320元，比上年名义增长5.0%，扣除价格因素，实际增长5.0%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从消费支出结构看，食品烟酒支出增长2.5%，在外饮食支出起到拉动作用。居民外出旅游、观赏演出的需求持续释放，带动教育文化娱乐支出增长7.5%。受旅馆住宿支出增长较快带动，其他用品及服务支出增长0.6%。衣着、居住、生活用品及服务、交通通信、医疗保健支出分别下降3.0%、0.4%、4.0%、2.1%和3.4%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尽管居民收入总体保持平稳增长态势，但也要看到，居民收入增速趋缓，居民消费意愿有待进一步提升。下阶段，要持续做好稳就业工作，强化居民增收举措，有效提振居民消费信心，推动居民收入和消费持续稳定增长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sectPr>
      <w:footerReference r:id="rId3" w:type="default"/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3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9FFCDFA"/>
    <w:rsid w:val="09FFCDFA"/>
    <w:rsid w:val="0CD72298"/>
    <w:rsid w:val="1EEA6616"/>
    <w:rsid w:val="219D3B98"/>
    <w:rsid w:val="2A7F2534"/>
    <w:rsid w:val="3CBA501C"/>
    <w:rsid w:val="3FCF1E76"/>
    <w:rsid w:val="540C6D3F"/>
    <w:rsid w:val="5FFB8FA3"/>
    <w:rsid w:val="66FA767F"/>
    <w:rsid w:val="725F2B99"/>
    <w:rsid w:val="7DE53960"/>
    <w:rsid w:val="7EFDDFEE"/>
    <w:rsid w:val="7FBF8C96"/>
    <w:rsid w:val="8CD76A2D"/>
    <w:rsid w:val="9FBFEB8A"/>
    <w:rsid w:val="BD767EAC"/>
    <w:rsid w:val="FAF779C2"/>
    <w:rsid w:val="FF7F4B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Office_11.8.2.12219_F1E327BC-269C-435d-A152-05C5408002CA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2025-01-18T01:41:00Z</dcterms:created>
  <dc:creator>kylin</dc:creator>
  <cp:lastModifiedBy>kylin</cp:lastModifiedBy>
  <cp:lastPrinted>2025-01-18T03:02:00Z</cp:lastPrinted>
  <dcterms:modified xsi:type="dcterms:W3CDTF">2025-01-20T09:08:07Z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2052-11.8.2.12219</vt:lpwstr>
  </property>
  <property fmtid="{D5CDD505-2E9C-101B-9397-08002B2CF9AE}" pid="3" name="ICV">
    <vt:lpwstr>94EB931EF6064A1DD1258A6782FD5995</vt:lpwstr>
  </property>
</Properties>
</file>