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pacing w:beforeAutospacing="0" w:afterAutospacing="0" w:line="700" w:lineRule="exact"/>
        <w:jc w:val="center"/>
        <w:rPr>
          <w:rFonts w:hint="default" w:ascii="方正小标宋简体" w:hAnsi="方正小标宋简体" w:eastAsia="方正小标宋简体" w:cs="方正小标宋简体"/>
          <w:b w:val="0"/>
          <w:bCs w:val="0"/>
          <w:color w:val="000000"/>
          <w:sz w:val="44"/>
          <w:szCs w:val="44"/>
          <w:lang w:val="en-US" w:eastAsia="zh-CN"/>
        </w:rPr>
      </w:pPr>
      <w:r>
        <w:rPr>
          <w:rFonts w:hint="eastAsia" w:ascii="方正小标宋简体" w:hAnsi="方正小标宋简体" w:eastAsia="方正小标宋简体" w:cs="方正小标宋简体"/>
          <w:color w:val="000000"/>
          <w:sz w:val="44"/>
          <w:szCs w:val="44"/>
          <w:lang w:val="en-US" w:eastAsia="zh-CN"/>
        </w:rPr>
        <w:t>8</w:t>
      </w:r>
      <w:r>
        <w:rPr>
          <w:rFonts w:hint="default" w:ascii="方正小标宋简体" w:hAnsi="方正小标宋简体" w:eastAsia="方正小标宋简体" w:cs="方正小标宋简体"/>
          <w:color w:val="000000"/>
          <w:sz w:val="44"/>
          <w:szCs w:val="44"/>
        </w:rPr>
        <w:t>月份我市工业生产者</w:t>
      </w:r>
      <w:r>
        <w:rPr>
          <w:rFonts w:hint="eastAsia" w:ascii="方正小标宋简体" w:hAnsi="方正小标宋简体" w:eastAsia="方正小标宋简体" w:cs="方正小标宋简体"/>
          <w:color w:val="000000"/>
          <w:sz w:val="44"/>
          <w:szCs w:val="44"/>
          <w:lang w:eastAsia="zh-CN"/>
        </w:rPr>
        <w:t>出厂</w:t>
      </w:r>
      <w:r>
        <w:rPr>
          <w:rFonts w:hint="default" w:ascii="方正小标宋简体" w:hAnsi="方正小标宋简体" w:eastAsia="方正小标宋简体" w:cs="方正小标宋简体"/>
          <w:color w:val="000000"/>
          <w:sz w:val="44"/>
          <w:szCs w:val="44"/>
        </w:rPr>
        <w:t>价格</w:t>
      </w:r>
      <w:r>
        <w:rPr>
          <w:rFonts w:hint="eastAsia" w:ascii="方正小标宋简体" w:hAnsi="方正小标宋简体" w:eastAsia="方正小标宋简体" w:cs="方正小标宋简体"/>
          <w:color w:val="000000"/>
          <w:sz w:val="44"/>
          <w:szCs w:val="44"/>
          <w:lang w:eastAsia="zh-CN"/>
        </w:rPr>
        <w:t>同比上涨</w:t>
      </w:r>
      <w:r>
        <w:rPr>
          <w:rFonts w:hint="eastAsia" w:ascii="方正小标宋简体" w:hAnsi="方正小标宋简体" w:eastAsia="方正小标宋简体" w:cs="方正小标宋简体"/>
          <w:color w:val="000000"/>
          <w:sz w:val="44"/>
          <w:szCs w:val="44"/>
          <w:lang w:val="en-US" w:eastAsia="zh-CN"/>
        </w:rPr>
        <w:t>1.6% 环比上涨0.3%</w:t>
      </w:r>
    </w:p>
    <w:p>
      <w:pPr>
        <w:pStyle w:val="5"/>
        <w:widowControl/>
        <w:spacing w:beforeAutospacing="0" w:afterAutospacing="0" w:line="530" w:lineRule="exact"/>
        <w:ind w:firstLine="560" w:firstLineChars="200"/>
        <w:rPr>
          <w:rFonts w:hint="eastAsia" w:ascii="仿宋_GB2312" w:hAnsi="仿宋_GB2312" w:eastAsia="仿宋_GB2312" w:cs="仿宋_GB2312"/>
          <w:color w:val="000000"/>
          <w:sz w:val="28"/>
          <w:szCs w:val="28"/>
        </w:rPr>
      </w:pPr>
    </w:p>
    <w:p>
      <w:pPr>
        <w:pStyle w:val="5"/>
        <w:widowControl/>
        <w:spacing w:beforeAutospacing="0" w:afterAutospacing="0" w:line="53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202</w:t>
      </w:r>
      <w:r>
        <w:rPr>
          <w:rFonts w:ascii="仿宋_GB2312" w:hAnsi="仿宋_GB2312" w:eastAsia="仿宋_GB2312" w:cs="仿宋_GB2312"/>
          <w:color w:val="000000"/>
          <w:sz w:val="28"/>
          <w:szCs w:val="28"/>
        </w:rPr>
        <w:t>6</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8</w:t>
      </w:r>
      <w:r>
        <w:rPr>
          <w:rFonts w:hint="eastAsia" w:ascii="仿宋_GB2312" w:hAnsi="仿宋_GB2312" w:eastAsia="仿宋_GB2312" w:cs="仿宋_GB2312"/>
          <w:color w:val="000000"/>
          <w:sz w:val="28"/>
          <w:szCs w:val="28"/>
        </w:rPr>
        <w:t>月份，我市工业生产者出厂价格同比上涨1.</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rPr>
        <w:t>%，涨幅比上月</w:t>
      </w:r>
      <w:r>
        <w:rPr>
          <w:rFonts w:hint="eastAsia" w:ascii="仿宋_GB2312" w:hAnsi="仿宋_GB2312" w:eastAsia="仿宋_GB2312" w:cs="仿宋_GB2312"/>
          <w:color w:val="000000"/>
          <w:sz w:val="28"/>
          <w:szCs w:val="28"/>
          <w:lang w:eastAsia="zh-CN"/>
        </w:rPr>
        <w:t>扩大</w:t>
      </w:r>
      <w:r>
        <w:rPr>
          <w:rFonts w:hint="eastAsia" w:ascii="仿宋_GB2312" w:hAnsi="仿宋_GB2312" w:eastAsia="仿宋_GB2312" w:cs="仿宋_GB2312"/>
          <w:color w:val="000000"/>
          <w:sz w:val="28"/>
          <w:szCs w:val="28"/>
          <w:lang w:val="en-US" w:eastAsia="zh-CN"/>
        </w:rPr>
        <w:t>0.3</w:t>
      </w:r>
      <w:r>
        <w:rPr>
          <w:rFonts w:hint="eastAsia" w:ascii="仿宋_GB2312" w:hAnsi="仿宋_GB2312" w:eastAsia="仿宋_GB2312" w:cs="仿宋_GB2312"/>
          <w:color w:val="000000"/>
          <w:sz w:val="28"/>
          <w:szCs w:val="28"/>
        </w:rPr>
        <w:t>个百分点，环比</w:t>
      </w:r>
      <w:r>
        <w:rPr>
          <w:rFonts w:hint="eastAsia" w:ascii="仿宋_GB2312" w:hAnsi="仿宋_GB2312" w:eastAsia="仿宋_GB2312" w:cs="仿宋_GB2312"/>
          <w:color w:val="000000"/>
          <w:sz w:val="28"/>
          <w:szCs w:val="28"/>
          <w:lang w:eastAsia="zh-CN"/>
        </w:rPr>
        <w:t>由上月</w:t>
      </w:r>
      <w:r>
        <w:rPr>
          <w:rFonts w:hint="eastAsia" w:ascii="仿宋_GB2312" w:hAnsi="仿宋_GB2312" w:eastAsia="仿宋_GB2312" w:cs="仿宋_GB2312"/>
          <w:color w:val="000000"/>
          <w:sz w:val="28"/>
          <w:szCs w:val="28"/>
        </w:rPr>
        <w:t>下降0.4%</w:t>
      </w:r>
      <w:r>
        <w:rPr>
          <w:rFonts w:hint="eastAsia" w:ascii="仿宋_GB2312" w:hAnsi="仿宋_GB2312" w:eastAsia="仿宋_GB2312" w:cs="仿宋_GB2312"/>
          <w:color w:val="000000"/>
          <w:sz w:val="28"/>
          <w:szCs w:val="28"/>
          <w:lang w:eastAsia="zh-CN"/>
        </w:rPr>
        <w:t>转为上涨</w:t>
      </w:r>
      <w:r>
        <w:rPr>
          <w:rFonts w:hint="eastAsia" w:ascii="仿宋_GB2312" w:hAnsi="仿宋_GB2312" w:eastAsia="仿宋_GB2312" w:cs="仿宋_GB2312"/>
          <w:color w:val="000000"/>
          <w:sz w:val="28"/>
          <w:szCs w:val="28"/>
          <w:lang w:val="en-US" w:eastAsia="zh-CN"/>
        </w:rPr>
        <w:t>0.3%</w:t>
      </w:r>
      <w:r>
        <w:rPr>
          <w:rFonts w:hint="eastAsia" w:ascii="仿宋_GB2312" w:hAnsi="仿宋_GB2312" w:eastAsia="仿宋_GB2312" w:cs="仿宋_GB2312"/>
          <w:color w:val="000000"/>
          <w:sz w:val="28"/>
          <w:szCs w:val="28"/>
        </w:rPr>
        <w:t>；工业生产者购进价格同比上涨2.6%，涨幅</w:t>
      </w:r>
      <w:r>
        <w:rPr>
          <w:rFonts w:hint="eastAsia" w:ascii="仿宋_GB2312" w:hAnsi="仿宋_GB2312" w:eastAsia="仿宋_GB2312" w:cs="仿宋_GB2312"/>
          <w:color w:val="000000"/>
          <w:sz w:val="28"/>
          <w:szCs w:val="28"/>
          <w:lang w:eastAsia="zh-CN"/>
        </w:rPr>
        <w:t>与上月持平</w:t>
      </w:r>
      <w:r>
        <w:rPr>
          <w:rFonts w:hint="eastAsia" w:ascii="仿宋_GB2312" w:hAnsi="仿宋_GB2312" w:eastAsia="仿宋_GB2312" w:cs="仿宋_GB2312"/>
          <w:color w:val="000000"/>
          <w:sz w:val="28"/>
          <w:szCs w:val="28"/>
        </w:rPr>
        <w:t>，环比</w:t>
      </w:r>
      <w:r>
        <w:rPr>
          <w:rFonts w:hint="eastAsia" w:ascii="仿宋_GB2312" w:hAnsi="仿宋_GB2312" w:eastAsia="仿宋_GB2312" w:cs="仿宋_GB2312"/>
          <w:color w:val="000000"/>
          <w:sz w:val="28"/>
          <w:szCs w:val="28"/>
          <w:lang w:eastAsia="zh-CN"/>
        </w:rPr>
        <w:t>由上月</w:t>
      </w:r>
      <w:r>
        <w:rPr>
          <w:rFonts w:hint="eastAsia" w:ascii="仿宋_GB2312" w:hAnsi="仿宋_GB2312" w:eastAsia="仿宋_GB2312" w:cs="仿宋_GB2312"/>
          <w:color w:val="000000"/>
          <w:sz w:val="28"/>
          <w:szCs w:val="28"/>
        </w:rPr>
        <w:t>下降2.6%</w:t>
      </w:r>
      <w:r>
        <w:rPr>
          <w:rFonts w:hint="eastAsia" w:ascii="仿宋_GB2312" w:hAnsi="仿宋_GB2312" w:eastAsia="仿宋_GB2312" w:cs="仿宋_GB2312"/>
          <w:color w:val="000000"/>
          <w:sz w:val="28"/>
          <w:szCs w:val="28"/>
          <w:lang w:eastAsia="zh-CN"/>
        </w:rPr>
        <w:t>转为上涨</w:t>
      </w:r>
      <w:r>
        <w:rPr>
          <w:rFonts w:hint="eastAsia" w:ascii="仿宋_GB2312" w:hAnsi="仿宋_GB2312" w:eastAsia="仿宋_GB2312" w:cs="仿宋_GB2312"/>
          <w:color w:val="000000"/>
          <w:sz w:val="28"/>
          <w:szCs w:val="28"/>
          <w:lang w:val="en-US" w:eastAsia="zh-CN"/>
        </w:rPr>
        <w:t>0.7%</w:t>
      </w:r>
      <w:r>
        <w:rPr>
          <w:rFonts w:hint="eastAsia" w:ascii="仿宋_GB2312" w:hAnsi="仿宋_GB2312" w:eastAsia="仿宋_GB2312" w:cs="仿宋_GB2312"/>
          <w:color w:val="000000"/>
          <w:sz w:val="28"/>
          <w:szCs w:val="28"/>
        </w:rPr>
        <w:t>。1-</w:t>
      </w:r>
      <w:r>
        <w:rPr>
          <w:rFonts w:hint="eastAsia" w:ascii="仿宋_GB2312" w:hAnsi="仿宋_GB2312" w:eastAsia="仿宋_GB2312" w:cs="仿宋_GB2312"/>
          <w:color w:val="000000"/>
          <w:sz w:val="28"/>
          <w:szCs w:val="28"/>
          <w:lang w:val="en-US" w:eastAsia="zh-CN"/>
        </w:rPr>
        <w:t>8</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eastAsia="zh-CN"/>
        </w:rPr>
        <w:t>平均</w:t>
      </w:r>
      <w:r>
        <w:rPr>
          <w:rFonts w:hint="eastAsia" w:ascii="仿宋_GB2312" w:hAnsi="仿宋_GB2312" w:eastAsia="仿宋_GB2312" w:cs="仿宋_GB2312"/>
          <w:color w:val="000000"/>
          <w:sz w:val="28"/>
          <w:szCs w:val="28"/>
        </w:rPr>
        <w:t>，我市工业生产者出厂价格比上年同期上涨0.</w:t>
      </w:r>
      <w:r>
        <w:rPr>
          <w:rFonts w:hint="eastAsia" w:ascii="仿宋_GB2312" w:hAnsi="仿宋_GB2312" w:eastAsia="仿宋_GB2312" w:cs="仿宋_GB2312"/>
          <w:color w:val="000000"/>
          <w:sz w:val="28"/>
          <w:szCs w:val="28"/>
          <w:lang w:val="en-US" w:eastAsia="zh-CN"/>
        </w:rPr>
        <w:t>7</w:t>
      </w:r>
      <w:r>
        <w:rPr>
          <w:rFonts w:hint="eastAsia" w:ascii="仿宋_GB2312" w:hAnsi="仿宋_GB2312" w:eastAsia="仿宋_GB2312" w:cs="仿宋_GB2312"/>
          <w:color w:val="000000"/>
          <w:sz w:val="28"/>
          <w:szCs w:val="28"/>
        </w:rPr>
        <w:t>%，工业生产者购进价格上涨2.</w:t>
      </w:r>
      <w:r>
        <w:rPr>
          <w:rFonts w:hint="eastAsia" w:ascii="仿宋_GB2312" w:hAnsi="仿宋_GB2312" w:eastAsia="仿宋_GB2312" w:cs="仿宋_GB2312"/>
          <w:color w:val="000000"/>
          <w:sz w:val="28"/>
          <w:szCs w:val="28"/>
          <w:lang w:val="en-US" w:eastAsia="zh-CN"/>
        </w:rPr>
        <w:t>8</w:t>
      </w:r>
      <w:r>
        <w:rPr>
          <w:rFonts w:hint="eastAsia" w:ascii="仿宋_GB2312" w:hAnsi="仿宋_GB2312" w:eastAsia="仿宋_GB2312" w:cs="仿宋_GB2312"/>
          <w:color w:val="000000"/>
          <w:sz w:val="28"/>
          <w:szCs w:val="28"/>
        </w:rPr>
        <w:t>%。</w:t>
      </w:r>
    </w:p>
    <w:p>
      <w:pPr>
        <w:pStyle w:val="5"/>
        <w:keepNext w:val="0"/>
        <w:keepLines w:val="0"/>
        <w:pageBreakBefore w:val="0"/>
        <w:widowControl/>
        <w:kinsoku/>
        <w:wordWrap/>
        <w:overflowPunct/>
        <w:topLinePunct w:val="0"/>
        <w:autoSpaceDE/>
        <w:autoSpaceDN/>
        <w:bidi w:val="0"/>
        <w:adjustRightInd/>
        <w:snapToGrid/>
        <w:spacing w:beforeAutospacing="0" w:afterAutospacing="0" w:line="360" w:lineRule="exact"/>
        <w:ind w:firstLine="0" w:firstLineChars="0"/>
        <w:jc w:val="both"/>
        <w:textAlignment w:val="auto"/>
        <w:rPr>
          <w:rFonts w:hint="eastAsia" w:ascii="黑体" w:hAnsi="黑体" w:eastAsia="黑体" w:cs="黑体"/>
          <w:color w:val="000000"/>
          <w:sz w:val="24"/>
          <w:szCs w:val="24"/>
        </w:rPr>
      </w:pPr>
    </w:p>
    <w:p>
      <w:pPr>
        <w:pStyle w:val="5"/>
        <w:keepNext w:val="0"/>
        <w:keepLines w:val="0"/>
        <w:pageBreakBefore w:val="0"/>
        <w:widowControl/>
        <w:kinsoku/>
        <w:wordWrap/>
        <w:overflowPunct/>
        <w:topLinePunct w:val="0"/>
        <w:autoSpaceDE/>
        <w:autoSpaceDN/>
        <w:bidi w:val="0"/>
        <w:adjustRightInd/>
        <w:snapToGrid/>
        <w:spacing w:beforeAutospacing="0" w:afterAutospacing="0" w:line="360" w:lineRule="exact"/>
        <w:ind w:firstLine="0" w:firstLineChars="0"/>
        <w:jc w:val="center"/>
        <w:textAlignment w:val="auto"/>
        <w:rPr>
          <w:rFonts w:hint="eastAsia" w:ascii="黑体" w:hAnsi="黑体" w:eastAsia="黑体" w:cs="黑体"/>
          <w:color w:val="000000"/>
          <w:sz w:val="24"/>
          <w:szCs w:val="24"/>
        </w:rPr>
      </w:pPr>
      <w:r>
        <w:rPr>
          <w:rFonts w:hint="eastAsia" w:ascii="黑体" w:hAnsi="黑体" w:eastAsia="黑体" w:cs="黑体"/>
          <w:color w:val="000000"/>
          <w:sz w:val="24"/>
          <w:szCs w:val="24"/>
        </w:rPr>
        <w:t>工业生产者出厂价格涨跌幅</w:t>
      </w:r>
    </w:p>
    <w:p>
      <w:pPr>
        <w:pStyle w:val="5"/>
        <w:keepNext w:val="0"/>
        <w:keepLines w:val="0"/>
        <w:pageBreakBefore w:val="0"/>
        <w:widowControl/>
        <w:kinsoku/>
        <w:wordWrap/>
        <w:overflowPunct/>
        <w:topLinePunct w:val="0"/>
        <w:autoSpaceDE/>
        <w:autoSpaceDN/>
        <w:bidi w:val="0"/>
        <w:adjustRightInd/>
        <w:snapToGrid/>
        <w:spacing w:beforeAutospacing="0" w:afterAutospacing="0" w:line="360" w:lineRule="exact"/>
        <w:ind w:firstLine="0" w:firstLineChars="0"/>
        <w:jc w:val="center"/>
        <w:textAlignment w:val="auto"/>
        <w:rPr>
          <w:rFonts w:hint="eastAsia" w:ascii="黑体" w:hAnsi="黑体" w:eastAsia="黑体" w:cs="黑体"/>
          <w:color w:val="000000"/>
          <w:sz w:val="24"/>
          <w:szCs w:val="24"/>
        </w:rPr>
      </w:pPr>
    </w:p>
    <w:p>
      <w:pPr>
        <w:pStyle w:val="5"/>
        <w:widowControl/>
        <w:spacing w:beforeAutospacing="0" w:afterAutospacing="0" w:line="240" w:lineRule="atLeast"/>
        <w:jc w:val="both"/>
      </w:pPr>
      <w:r>
        <w:drawing>
          <wp:inline distT="0" distB="0" distL="114300" distR="114300">
            <wp:extent cx="5551805" cy="2914015"/>
            <wp:effectExtent l="0" t="0" r="10795" b="635"/>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pStyle w:val="5"/>
        <w:widowControl/>
        <w:spacing w:beforeAutospacing="0" w:afterAutospacing="0" w:line="240" w:lineRule="atLeast"/>
        <w:jc w:val="both"/>
      </w:pPr>
    </w:p>
    <w:p>
      <w:pPr>
        <w:pStyle w:val="5"/>
        <w:widowControl/>
        <w:spacing w:beforeAutospacing="0" w:afterAutospacing="0" w:line="240" w:lineRule="atLeast"/>
        <w:jc w:val="both"/>
      </w:pPr>
    </w:p>
    <w:p>
      <w:pPr>
        <w:pStyle w:val="5"/>
        <w:widowControl/>
        <w:spacing w:beforeAutospacing="0" w:afterAutospacing="0" w:line="240" w:lineRule="atLeast"/>
        <w:jc w:val="both"/>
      </w:pPr>
    </w:p>
    <w:p>
      <w:pPr>
        <w:pStyle w:val="5"/>
        <w:widowControl/>
        <w:spacing w:beforeAutospacing="0" w:afterAutospacing="0" w:line="240" w:lineRule="atLeast"/>
        <w:jc w:val="both"/>
      </w:pPr>
    </w:p>
    <w:p>
      <w:pPr>
        <w:pStyle w:val="5"/>
        <w:widowControl/>
        <w:spacing w:beforeAutospacing="0" w:afterAutospacing="0" w:line="240" w:lineRule="atLeast"/>
        <w:jc w:val="both"/>
      </w:pPr>
    </w:p>
    <w:p>
      <w:pPr>
        <w:pStyle w:val="5"/>
        <w:widowControl/>
        <w:spacing w:beforeAutospacing="0" w:afterAutospacing="0" w:line="240" w:lineRule="atLeast"/>
        <w:jc w:val="both"/>
      </w:pPr>
    </w:p>
    <w:p>
      <w:pPr>
        <w:pStyle w:val="5"/>
        <w:keepNext w:val="0"/>
        <w:keepLines w:val="0"/>
        <w:pageBreakBefore w:val="0"/>
        <w:widowControl/>
        <w:kinsoku/>
        <w:wordWrap/>
        <w:overflowPunct/>
        <w:topLinePunct w:val="0"/>
        <w:autoSpaceDE/>
        <w:autoSpaceDN/>
        <w:bidi w:val="0"/>
        <w:adjustRightInd/>
        <w:snapToGrid/>
        <w:spacing w:beforeAutospacing="0" w:afterAutospacing="0" w:line="360" w:lineRule="exact"/>
        <w:ind w:firstLine="2880" w:firstLineChars="1200"/>
        <w:jc w:val="both"/>
        <w:textAlignment w:val="auto"/>
        <w:rPr>
          <w:rFonts w:hint="eastAsia" w:ascii="黑体" w:hAnsi="黑体" w:eastAsia="黑体" w:cs="黑体"/>
          <w:b w:val="0"/>
          <w:bCs w:val="0"/>
        </w:rPr>
      </w:pPr>
    </w:p>
    <w:p>
      <w:pPr>
        <w:pStyle w:val="5"/>
        <w:keepNext w:val="0"/>
        <w:keepLines w:val="0"/>
        <w:pageBreakBefore w:val="0"/>
        <w:widowControl/>
        <w:kinsoku/>
        <w:wordWrap/>
        <w:overflowPunct/>
        <w:topLinePunct w:val="0"/>
        <w:autoSpaceDE/>
        <w:autoSpaceDN/>
        <w:bidi w:val="0"/>
        <w:adjustRightInd/>
        <w:snapToGrid/>
        <w:spacing w:beforeAutospacing="0" w:afterAutospacing="0" w:line="360" w:lineRule="exact"/>
        <w:ind w:firstLine="2880" w:firstLineChars="1200"/>
        <w:jc w:val="both"/>
        <w:textAlignment w:val="auto"/>
        <w:rPr>
          <w:rFonts w:hint="eastAsia"/>
        </w:rPr>
      </w:pPr>
      <w:r>
        <w:rPr>
          <w:rFonts w:hint="eastAsia" w:ascii="黑体" w:hAnsi="黑体" w:eastAsia="黑体" w:cs="黑体"/>
          <w:b w:val="0"/>
          <w:bCs w:val="0"/>
        </w:rPr>
        <w:t>工业生产者购进价格涨跌幅</w:t>
      </w:r>
    </w:p>
    <w:p>
      <w:pPr>
        <w:pStyle w:val="5"/>
        <w:keepNext w:val="0"/>
        <w:keepLines w:val="0"/>
        <w:pageBreakBefore w:val="0"/>
        <w:widowControl/>
        <w:kinsoku/>
        <w:wordWrap/>
        <w:overflowPunct/>
        <w:topLinePunct w:val="0"/>
        <w:autoSpaceDE/>
        <w:autoSpaceDN/>
        <w:bidi w:val="0"/>
        <w:adjustRightInd/>
        <w:snapToGrid/>
        <w:spacing w:beforeAutospacing="0" w:afterAutospacing="0" w:line="240" w:lineRule="auto"/>
        <w:jc w:val="both"/>
        <w:textAlignment w:val="auto"/>
      </w:pPr>
      <w:r>
        <w:rPr>
          <w:rFonts w:hint="eastAsia"/>
          <w:lang w:val="en-US" w:eastAsia="zh-CN"/>
        </w:rPr>
        <w:t xml:space="preserve">   </w:t>
      </w:r>
      <w:r>
        <w:drawing>
          <wp:inline distT="0" distB="0" distL="114300" distR="114300">
            <wp:extent cx="5469890" cy="2676525"/>
            <wp:effectExtent l="0" t="0" r="16510" b="9525"/>
            <wp:docPr id="5"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5"/>
        <w:keepNext w:val="0"/>
        <w:keepLines w:val="0"/>
        <w:pageBreakBefore w:val="0"/>
        <w:widowControl/>
        <w:kinsoku/>
        <w:wordWrap/>
        <w:overflowPunct/>
        <w:topLinePunct w:val="0"/>
        <w:autoSpaceDE/>
        <w:autoSpaceDN/>
        <w:bidi w:val="0"/>
        <w:adjustRightInd/>
        <w:snapToGrid/>
        <w:spacing w:beforeAutospacing="0" w:afterAutospacing="0" w:line="240" w:lineRule="auto"/>
        <w:jc w:val="both"/>
        <w:textAlignment w:val="auto"/>
        <w:rPr>
          <w:rFonts w:hint="eastAsia"/>
        </w:rPr>
      </w:pPr>
    </w:p>
    <w:p>
      <w:pPr>
        <w:pStyle w:val="5"/>
        <w:widowControl/>
        <w:spacing w:beforeAutospacing="0" w:afterAutospacing="0" w:line="530" w:lineRule="exact"/>
        <w:ind w:firstLine="562" w:firstLineChars="200"/>
        <w:jc w:val="both"/>
        <w:rPr>
          <w:rFonts w:hint="eastAsia" w:ascii="黑体" w:hAnsi="黑体" w:eastAsia="黑体" w:cs="黑体"/>
          <w:color w:val="000000"/>
          <w:sz w:val="28"/>
          <w:szCs w:val="28"/>
        </w:rPr>
      </w:pPr>
      <w:r>
        <w:rPr>
          <w:rFonts w:hint="eastAsia" w:ascii="黑体" w:hAnsi="黑体" w:eastAsia="黑体" w:cs="黑体"/>
          <w:b/>
          <w:bCs/>
          <w:color w:val="000000"/>
          <w:sz w:val="28"/>
          <w:szCs w:val="28"/>
        </w:rPr>
        <w:t>一、工业生产者价格同比变动情况</w:t>
      </w:r>
    </w:p>
    <w:p>
      <w:pPr>
        <w:pStyle w:val="5"/>
        <w:widowControl/>
        <w:spacing w:beforeAutospacing="0" w:afterAutospacing="0" w:line="530" w:lineRule="exact"/>
        <w:ind w:firstLine="560" w:firstLineChars="200"/>
        <w:jc w:val="both"/>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8</w:t>
      </w:r>
      <w:r>
        <w:rPr>
          <w:rFonts w:hint="eastAsia" w:ascii="仿宋_GB2312" w:hAnsi="仿宋_GB2312" w:eastAsia="仿宋_GB2312" w:cs="仿宋_GB2312"/>
          <w:color w:val="000000"/>
          <w:sz w:val="28"/>
          <w:szCs w:val="28"/>
        </w:rPr>
        <w:t>月份，工业生产者出厂价格中，生产资料价格上涨</w:t>
      </w:r>
      <w:r>
        <w:rPr>
          <w:rFonts w:hint="eastAsia" w:ascii="仿宋_GB2312" w:hAnsi="仿宋_GB2312" w:eastAsia="仿宋_GB2312" w:cs="仿宋_GB2312"/>
          <w:color w:val="000000"/>
          <w:sz w:val="28"/>
          <w:szCs w:val="28"/>
          <w:lang w:val="en-US" w:eastAsia="zh-CN"/>
        </w:rPr>
        <w:t>2.0</w:t>
      </w:r>
      <w:r>
        <w:rPr>
          <w:rFonts w:hint="eastAsia" w:ascii="仿宋_GB2312" w:hAnsi="仿宋_GB2312" w:eastAsia="仿宋_GB2312" w:cs="仿宋_GB2312"/>
          <w:color w:val="000000"/>
          <w:sz w:val="28"/>
          <w:szCs w:val="28"/>
        </w:rPr>
        <w:t>%，影响工业生产者出厂价格总水平上涨约</w:t>
      </w:r>
      <w:r>
        <w:rPr>
          <w:rFonts w:hint="eastAsia" w:ascii="仿宋_GB2312" w:hAnsi="仿宋_GB2312" w:eastAsia="仿宋_GB2312" w:cs="仿宋_GB2312"/>
          <w:sz w:val="28"/>
          <w:szCs w:val="28"/>
          <w:highlight w:val="none"/>
        </w:rPr>
        <w:t>1.</w:t>
      </w:r>
      <w:r>
        <w:rPr>
          <w:rFonts w:hint="eastAsia" w:ascii="仿宋_GB2312" w:hAnsi="仿宋_GB2312" w:eastAsia="仿宋_GB2312" w:cs="仿宋_GB2312"/>
          <w:sz w:val="28"/>
          <w:szCs w:val="28"/>
          <w:highlight w:val="none"/>
          <w:lang w:val="en-US" w:eastAsia="zh-CN"/>
        </w:rPr>
        <w:t>4</w:t>
      </w:r>
      <w:r>
        <w:rPr>
          <w:rFonts w:hint="default" w:ascii="仿宋_GB2312" w:hAnsi="仿宋_GB2312" w:eastAsia="仿宋_GB2312" w:cs="仿宋_GB2312"/>
          <w:sz w:val="28"/>
          <w:szCs w:val="28"/>
          <w:highlight w:val="none"/>
          <w:lang w:val="en-US"/>
        </w:rPr>
        <w:t>6</w:t>
      </w:r>
      <w:r>
        <w:rPr>
          <w:rFonts w:hint="eastAsia" w:ascii="仿宋_GB2312" w:hAnsi="仿宋_GB2312" w:eastAsia="仿宋_GB2312" w:cs="仿宋_GB2312"/>
          <w:color w:val="000000"/>
          <w:sz w:val="28"/>
          <w:szCs w:val="28"/>
        </w:rPr>
        <w:t>个百分点</w:t>
      </w:r>
      <w:r>
        <w:rPr>
          <w:rStyle w:val="9"/>
          <w:rFonts w:hint="eastAsia" w:ascii="仿宋_GB2312" w:hAnsi="仿宋_GB2312" w:eastAsia="仿宋_GB2312" w:cs="仿宋_GB2312"/>
          <w:color w:val="000000"/>
          <w:sz w:val="28"/>
          <w:szCs w:val="28"/>
        </w:rPr>
        <w:footnoteReference w:id="0"/>
      </w:r>
      <w:r>
        <w:rPr>
          <w:rFonts w:hint="eastAsia" w:ascii="仿宋_GB2312" w:hAnsi="仿宋_GB2312" w:eastAsia="仿宋_GB2312" w:cs="仿宋_GB2312"/>
          <w:color w:val="000000"/>
          <w:sz w:val="28"/>
          <w:szCs w:val="28"/>
        </w:rPr>
        <w:t>。其中，采掘工业价格上涨</w:t>
      </w:r>
      <w:r>
        <w:rPr>
          <w:rFonts w:hint="eastAsia" w:ascii="仿宋_GB2312" w:hAnsi="仿宋_GB2312" w:eastAsia="仿宋_GB2312" w:cs="仿宋_GB2312"/>
          <w:color w:val="000000"/>
          <w:sz w:val="28"/>
          <w:szCs w:val="28"/>
          <w:lang w:val="en-US" w:eastAsia="zh-CN"/>
        </w:rPr>
        <w:t>6.6</w:t>
      </w:r>
      <w:r>
        <w:rPr>
          <w:rFonts w:hint="eastAsia" w:ascii="仿宋_GB2312" w:hAnsi="仿宋_GB2312" w:eastAsia="仿宋_GB2312" w:cs="仿宋_GB2312"/>
          <w:color w:val="000000"/>
          <w:sz w:val="28"/>
          <w:szCs w:val="28"/>
        </w:rPr>
        <w:t>%，原材料工业价格上涨</w:t>
      </w:r>
      <w:r>
        <w:rPr>
          <w:rFonts w:hint="eastAsia" w:ascii="仿宋_GB2312" w:hAnsi="仿宋_GB2312" w:eastAsia="仿宋_GB2312" w:cs="仿宋_GB2312"/>
          <w:color w:val="000000"/>
          <w:sz w:val="28"/>
          <w:szCs w:val="28"/>
          <w:lang w:val="en-US" w:eastAsia="zh-CN"/>
        </w:rPr>
        <w:t>5.4</w:t>
      </w:r>
      <w:r>
        <w:rPr>
          <w:rFonts w:hint="eastAsia" w:ascii="仿宋_GB2312" w:hAnsi="仿宋_GB2312" w:eastAsia="仿宋_GB2312" w:cs="仿宋_GB2312"/>
          <w:color w:val="000000"/>
          <w:sz w:val="28"/>
          <w:szCs w:val="28"/>
        </w:rPr>
        <w:t>%，加工工业价格上涨</w:t>
      </w:r>
      <w:r>
        <w:rPr>
          <w:rFonts w:hint="eastAsia" w:ascii="仿宋_GB2312" w:hAnsi="仿宋_GB2312" w:eastAsia="仿宋_GB2312" w:cs="仿宋_GB2312"/>
          <w:color w:val="000000"/>
          <w:sz w:val="28"/>
          <w:szCs w:val="28"/>
          <w:lang w:val="en-US" w:eastAsia="zh-CN"/>
        </w:rPr>
        <w:t>1.1</w:t>
      </w:r>
      <w:r>
        <w:rPr>
          <w:rFonts w:hint="eastAsia" w:ascii="仿宋_GB2312" w:hAnsi="仿宋_GB2312" w:eastAsia="仿宋_GB2312" w:cs="仿宋_GB2312"/>
          <w:color w:val="000000"/>
          <w:sz w:val="28"/>
          <w:szCs w:val="28"/>
        </w:rPr>
        <w:t>%。生活资料价格</w:t>
      </w:r>
      <w:r>
        <w:rPr>
          <w:rFonts w:hint="eastAsia" w:ascii="仿宋_GB2312" w:hAnsi="仿宋_GB2312" w:eastAsia="仿宋_GB2312" w:cs="仿宋_GB2312"/>
          <w:color w:val="000000"/>
          <w:sz w:val="28"/>
          <w:szCs w:val="28"/>
          <w:lang w:eastAsia="zh-CN"/>
        </w:rPr>
        <w:t>上涨</w:t>
      </w:r>
      <w:r>
        <w:rPr>
          <w:rFonts w:hint="eastAsia" w:ascii="仿宋_GB2312" w:hAnsi="仿宋_GB2312" w:eastAsia="仿宋_GB2312" w:cs="仿宋_GB2312"/>
          <w:color w:val="000000"/>
          <w:sz w:val="28"/>
          <w:szCs w:val="28"/>
        </w:rPr>
        <w:t>0.</w:t>
      </w: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rPr>
        <w:t>%，影响工业生产者出厂价格总水平</w:t>
      </w:r>
      <w:r>
        <w:rPr>
          <w:rFonts w:hint="eastAsia" w:ascii="仿宋_GB2312" w:hAnsi="仿宋_GB2312" w:eastAsia="仿宋_GB2312" w:cs="仿宋_GB2312"/>
          <w:color w:val="000000"/>
          <w:sz w:val="28"/>
          <w:szCs w:val="28"/>
          <w:lang w:eastAsia="zh-CN"/>
        </w:rPr>
        <w:t>上涨</w:t>
      </w:r>
      <w:r>
        <w:rPr>
          <w:rFonts w:hint="eastAsia" w:ascii="仿宋_GB2312" w:hAnsi="仿宋_GB2312" w:eastAsia="仿宋_GB2312" w:cs="仿宋_GB2312"/>
          <w:color w:val="000000"/>
          <w:sz w:val="28"/>
          <w:szCs w:val="28"/>
        </w:rPr>
        <w:t>约0.</w:t>
      </w:r>
      <w:r>
        <w:rPr>
          <w:rFonts w:hint="eastAsia" w:ascii="仿宋_GB2312" w:hAnsi="仿宋_GB2312" w:eastAsia="仿宋_GB2312" w:cs="仿宋_GB2312"/>
          <w:color w:val="000000"/>
          <w:sz w:val="28"/>
          <w:szCs w:val="28"/>
          <w:lang w:val="en-US" w:eastAsia="zh-CN"/>
        </w:rPr>
        <w:t>14</w:t>
      </w:r>
      <w:r>
        <w:rPr>
          <w:rFonts w:hint="eastAsia" w:ascii="仿宋_GB2312" w:hAnsi="仿宋_GB2312" w:eastAsia="仿宋_GB2312" w:cs="仿宋_GB2312"/>
          <w:color w:val="000000"/>
          <w:sz w:val="28"/>
          <w:szCs w:val="28"/>
        </w:rPr>
        <w:t>个百分点。其中，食品价格下降0.</w:t>
      </w:r>
      <w:r>
        <w:rPr>
          <w:rFonts w:hint="eastAsia" w:ascii="仿宋_GB2312" w:hAnsi="仿宋_GB2312" w:eastAsia="仿宋_GB2312" w:cs="仿宋_GB2312"/>
          <w:color w:val="000000"/>
          <w:sz w:val="28"/>
          <w:szCs w:val="28"/>
          <w:lang w:val="en-US" w:eastAsia="zh-CN"/>
        </w:rPr>
        <w:t>7</w:t>
      </w:r>
      <w:r>
        <w:rPr>
          <w:rFonts w:hint="eastAsia" w:ascii="仿宋_GB2312" w:hAnsi="仿宋_GB2312" w:eastAsia="仿宋_GB2312" w:cs="仿宋_GB2312"/>
          <w:color w:val="000000"/>
          <w:sz w:val="28"/>
          <w:szCs w:val="28"/>
        </w:rPr>
        <w:t>%，衣着价格下降1.</w:t>
      </w: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rPr>
        <w:t>%，一般日用品价格</w:t>
      </w:r>
      <w:r>
        <w:rPr>
          <w:rFonts w:hint="eastAsia" w:ascii="仿宋_GB2312" w:hAnsi="仿宋_GB2312" w:eastAsia="仿宋_GB2312" w:cs="仿宋_GB2312"/>
          <w:color w:val="000000"/>
          <w:sz w:val="28"/>
          <w:szCs w:val="28"/>
          <w:lang w:eastAsia="zh-CN"/>
        </w:rPr>
        <w:t>与上月持平</w:t>
      </w:r>
      <w:r>
        <w:rPr>
          <w:rFonts w:hint="eastAsia" w:ascii="仿宋_GB2312" w:hAnsi="仿宋_GB2312" w:eastAsia="仿宋_GB2312" w:cs="仿宋_GB2312"/>
          <w:color w:val="000000"/>
          <w:sz w:val="28"/>
          <w:szCs w:val="28"/>
        </w:rPr>
        <w:t>，耐用消费品价格</w:t>
      </w:r>
      <w:r>
        <w:rPr>
          <w:rFonts w:hint="eastAsia" w:ascii="仿宋_GB2312" w:hAnsi="仿宋_GB2312" w:eastAsia="仿宋_GB2312" w:cs="仿宋_GB2312"/>
          <w:color w:val="000000"/>
          <w:sz w:val="28"/>
          <w:szCs w:val="28"/>
          <w:lang w:eastAsia="zh-CN"/>
        </w:rPr>
        <w:t>上涨</w:t>
      </w:r>
      <w:r>
        <w:rPr>
          <w:rFonts w:hint="eastAsia" w:ascii="仿宋_GB2312" w:hAnsi="仿宋_GB2312" w:eastAsia="仿宋_GB2312" w:cs="仿宋_GB2312"/>
          <w:color w:val="000000"/>
          <w:sz w:val="28"/>
          <w:szCs w:val="28"/>
          <w:lang w:val="en-US" w:eastAsia="zh-CN"/>
        </w:rPr>
        <w:t>1.3</w:t>
      </w:r>
      <w:r>
        <w:rPr>
          <w:rFonts w:hint="eastAsia" w:ascii="仿宋_GB2312" w:hAnsi="仿宋_GB2312" w:eastAsia="仿宋_GB2312" w:cs="仿宋_GB2312"/>
          <w:color w:val="000000"/>
          <w:sz w:val="28"/>
          <w:szCs w:val="28"/>
        </w:rPr>
        <w:t>%。</w:t>
      </w:r>
    </w:p>
    <w:p>
      <w:pPr>
        <w:pStyle w:val="5"/>
        <w:widowControl/>
        <w:spacing w:before="720" w:beforeAutospacing="0" w:afterAutospacing="0" w:line="480" w:lineRule="atLeast"/>
        <w:ind w:right="750"/>
        <w:jc w:val="both"/>
      </w:pPr>
    </w:p>
    <w:p>
      <w:pPr>
        <w:jc w:val="both"/>
        <w:rPr>
          <w:rFonts w:hint="eastAsia" w:ascii="黑体" w:hAnsi="黑体" w:eastAsia="黑体" w:cs="黑体"/>
          <w:lang w:eastAsia="zh-CN"/>
        </w:rPr>
      </w:pPr>
    </w:p>
    <w:p>
      <w:pPr>
        <w:jc w:val="both"/>
        <w:rPr>
          <w:rFonts w:hint="eastAsia" w:ascii="黑体" w:hAnsi="黑体" w:eastAsia="黑体" w:cs="黑体"/>
          <w:lang w:eastAsia="zh-CN"/>
        </w:rPr>
      </w:pPr>
    </w:p>
    <w:p>
      <w:pPr>
        <w:pStyle w:val="5"/>
        <w:keepNext w:val="0"/>
        <w:keepLines w:val="0"/>
        <w:pageBreakBefore w:val="0"/>
        <w:widowControl/>
        <w:kinsoku/>
        <w:wordWrap/>
        <w:overflowPunct/>
        <w:topLinePunct w:val="0"/>
        <w:autoSpaceDE/>
        <w:autoSpaceDN/>
        <w:bidi w:val="0"/>
        <w:adjustRightInd/>
        <w:snapToGrid/>
        <w:spacing w:beforeAutospacing="0" w:afterAutospacing="0" w:line="360" w:lineRule="exact"/>
        <w:ind w:firstLine="2880" w:firstLineChars="1200"/>
        <w:jc w:val="both"/>
        <w:textAlignment w:val="auto"/>
        <w:rPr>
          <w:rFonts w:hint="eastAsia" w:ascii="黑体" w:hAnsi="黑体" w:eastAsia="黑体" w:cs="黑体"/>
          <w:b w:val="0"/>
          <w:bCs w:val="0"/>
          <w:lang w:eastAsia="zh-CN"/>
        </w:rPr>
      </w:pPr>
    </w:p>
    <w:p>
      <w:pPr>
        <w:pStyle w:val="5"/>
        <w:keepNext w:val="0"/>
        <w:keepLines w:val="0"/>
        <w:pageBreakBefore w:val="0"/>
        <w:widowControl/>
        <w:kinsoku/>
        <w:wordWrap/>
        <w:overflowPunct/>
        <w:topLinePunct w:val="0"/>
        <w:autoSpaceDE/>
        <w:autoSpaceDN/>
        <w:bidi w:val="0"/>
        <w:adjustRightInd/>
        <w:snapToGrid/>
        <w:spacing w:beforeAutospacing="0" w:afterAutospacing="0" w:line="360" w:lineRule="exact"/>
        <w:ind w:firstLine="2880" w:firstLineChars="1200"/>
        <w:jc w:val="both"/>
        <w:textAlignment w:val="auto"/>
        <w:rPr>
          <w:rFonts w:hint="eastAsia" w:ascii="黑体" w:hAnsi="黑体" w:eastAsia="黑体" w:cs="黑体"/>
          <w:b w:val="0"/>
          <w:bCs w:val="0"/>
          <w:lang w:eastAsia="zh-CN"/>
        </w:rPr>
      </w:pPr>
    </w:p>
    <w:p>
      <w:pPr>
        <w:pStyle w:val="5"/>
        <w:keepNext w:val="0"/>
        <w:keepLines w:val="0"/>
        <w:pageBreakBefore w:val="0"/>
        <w:widowControl/>
        <w:kinsoku/>
        <w:wordWrap/>
        <w:overflowPunct/>
        <w:topLinePunct w:val="0"/>
        <w:autoSpaceDE/>
        <w:autoSpaceDN/>
        <w:bidi w:val="0"/>
        <w:adjustRightInd/>
        <w:snapToGrid/>
        <w:spacing w:beforeAutospacing="0" w:afterAutospacing="0" w:line="360" w:lineRule="exact"/>
        <w:ind w:firstLine="2880" w:firstLineChars="1200"/>
        <w:jc w:val="both"/>
        <w:textAlignment w:val="auto"/>
        <w:rPr>
          <w:rFonts w:hint="eastAsia" w:ascii="黑体" w:hAnsi="黑体" w:eastAsia="黑体" w:cs="黑体"/>
          <w:b w:val="0"/>
          <w:bCs w:val="0"/>
          <w:lang w:eastAsia="zh-CN"/>
        </w:rPr>
      </w:pPr>
      <w:r>
        <w:rPr>
          <w:rFonts w:hint="eastAsia" w:ascii="黑体" w:hAnsi="黑体" w:eastAsia="黑体" w:cs="黑体"/>
          <w:b w:val="0"/>
          <w:bCs w:val="0"/>
          <w:lang w:eastAsia="zh-CN"/>
        </w:rPr>
        <w:t>生产资料出厂价格涨跌幅</w:t>
      </w:r>
    </w:p>
    <w:p>
      <w:pPr>
        <w:pStyle w:val="5"/>
        <w:keepNext w:val="0"/>
        <w:keepLines w:val="0"/>
        <w:pageBreakBefore w:val="0"/>
        <w:widowControl/>
        <w:kinsoku/>
        <w:wordWrap/>
        <w:overflowPunct/>
        <w:topLinePunct w:val="0"/>
        <w:autoSpaceDE/>
        <w:autoSpaceDN/>
        <w:bidi w:val="0"/>
        <w:adjustRightInd/>
        <w:snapToGrid/>
        <w:spacing w:beforeAutospacing="0" w:afterAutospacing="0" w:line="360" w:lineRule="atLeast"/>
        <w:ind w:right="0"/>
        <w:jc w:val="center"/>
        <w:textAlignment w:val="auto"/>
        <w:rPr>
          <w:rFonts w:hint="eastAsia" w:ascii="黑体" w:hAnsi="黑体" w:eastAsia="黑体" w:cs="黑体"/>
          <w:lang w:eastAsia="zh-CN"/>
        </w:rPr>
      </w:pPr>
    </w:p>
    <w:p>
      <w:r>
        <w:drawing>
          <wp:inline distT="0" distB="0" distL="114300" distR="114300">
            <wp:extent cx="5610860" cy="2741295"/>
            <wp:effectExtent l="0" t="0" r="8890" b="1905"/>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rPr>
          <w:rFonts w:hint="eastAsia" w:ascii="黑体" w:hAnsi="黑体" w:eastAsia="黑体" w:cs="黑体"/>
        </w:rPr>
      </w:pPr>
    </w:p>
    <w:p>
      <w:pPr>
        <w:pStyle w:val="5"/>
        <w:widowControl/>
        <w:spacing w:beforeAutospacing="0" w:afterAutospacing="0" w:line="360" w:lineRule="atLeast"/>
        <w:jc w:val="both"/>
        <w:rPr>
          <w:rFonts w:hint="eastAsia" w:ascii="黑体" w:hAnsi="黑体" w:eastAsia="黑体" w:cs="黑体"/>
        </w:rPr>
      </w:pPr>
    </w:p>
    <w:p>
      <w:pPr>
        <w:pStyle w:val="5"/>
        <w:keepNext w:val="0"/>
        <w:keepLines w:val="0"/>
        <w:pageBreakBefore w:val="0"/>
        <w:widowControl/>
        <w:kinsoku/>
        <w:wordWrap/>
        <w:overflowPunct/>
        <w:topLinePunct w:val="0"/>
        <w:autoSpaceDE/>
        <w:autoSpaceDN/>
        <w:bidi w:val="0"/>
        <w:adjustRightInd/>
        <w:snapToGrid/>
        <w:spacing w:beforeAutospacing="0" w:afterAutospacing="0" w:line="360" w:lineRule="exact"/>
        <w:ind w:firstLine="2880" w:firstLineChars="1200"/>
        <w:jc w:val="both"/>
        <w:textAlignment w:val="auto"/>
        <w:rPr>
          <w:rFonts w:hint="eastAsia" w:ascii="黑体" w:hAnsi="黑体" w:eastAsia="黑体" w:cs="黑体"/>
          <w:b w:val="0"/>
          <w:bCs w:val="0"/>
          <w:lang w:eastAsia="zh-CN"/>
        </w:rPr>
      </w:pPr>
      <w:r>
        <w:rPr>
          <w:rFonts w:hint="eastAsia" w:ascii="黑体" w:hAnsi="黑体" w:eastAsia="黑体" w:cs="黑体"/>
          <w:b w:val="0"/>
          <w:bCs w:val="0"/>
          <w:lang w:eastAsia="zh-CN"/>
        </w:rPr>
        <w:t>生活资料出厂价格涨跌幅</w:t>
      </w:r>
    </w:p>
    <w:p>
      <w:pPr>
        <w:pStyle w:val="5"/>
        <w:widowControl/>
        <w:spacing w:beforeAutospacing="0" w:afterAutospacing="0" w:line="360" w:lineRule="atLeast"/>
        <w:jc w:val="center"/>
        <w:rPr>
          <w:rFonts w:hint="eastAsia" w:ascii="黑体" w:hAnsi="黑体" w:eastAsia="黑体" w:cs="黑体"/>
        </w:rPr>
      </w:pPr>
    </w:p>
    <w:p>
      <w:pPr>
        <w:pStyle w:val="5"/>
        <w:widowControl/>
        <w:spacing w:beforeAutospacing="0" w:afterAutospacing="0" w:line="360" w:lineRule="atLeast"/>
        <w:jc w:val="both"/>
        <w:rPr>
          <w:rFonts w:hint="eastAsia" w:ascii="黑体" w:hAnsi="黑体" w:eastAsia="黑体" w:cs="黑体"/>
        </w:rPr>
      </w:pPr>
      <w:r>
        <w:drawing>
          <wp:inline distT="0" distB="0" distL="114300" distR="114300">
            <wp:extent cx="5610860" cy="2708275"/>
            <wp:effectExtent l="0" t="0" r="8890" b="15875"/>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5"/>
        <w:widowControl/>
        <w:spacing w:beforeAutospacing="0" w:afterAutospacing="0" w:line="530" w:lineRule="exact"/>
        <w:ind w:firstLine="560" w:firstLineChars="200"/>
        <w:jc w:val="both"/>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工业生产者购进价格中，农副产品类价格下降</w:t>
      </w:r>
      <w:r>
        <w:rPr>
          <w:rFonts w:hint="eastAsia" w:ascii="仿宋_GB2312" w:hAnsi="仿宋_GB2312" w:eastAsia="仿宋_GB2312" w:cs="仿宋_GB2312"/>
          <w:color w:val="000000"/>
          <w:sz w:val="28"/>
          <w:szCs w:val="28"/>
          <w:lang w:val="en-US" w:eastAsia="zh-CN"/>
        </w:rPr>
        <w:t>6.4</w:t>
      </w:r>
      <w:r>
        <w:rPr>
          <w:rFonts w:hint="eastAsia" w:ascii="仿宋_GB2312" w:hAnsi="仿宋_GB2312" w:eastAsia="仿宋_GB2312" w:cs="仿宋_GB2312"/>
          <w:color w:val="000000"/>
          <w:sz w:val="28"/>
          <w:szCs w:val="28"/>
        </w:rPr>
        <w:t>%，木材及纸浆类价格下降2.3%，黑色金属材料类价格下降</w:t>
      </w:r>
      <w:r>
        <w:rPr>
          <w:rFonts w:hint="eastAsia" w:ascii="仿宋_GB2312" w:hAnsi="仿宋_GB2312" w:eastAsia="仿宋_GB2312" w:cs="仿宋_GB2312"/>
          <w:color w:val="000000"/>
          <w:sz w:val="28"/>
          <w:szCs w:val="28"/>
          <w:lang w:val="en-US" w:eastAsia="zh-CN"/>
        </w:rPr>
        <w:t>2.2</w:t>
      </w: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建筑材料及非金属类价格下降</w:t>
      </w:r>
      <w:r>
        <w:rPr>
          <w:rFonts w:hint="eastAsia" w:ascii="仿宋_GB2312" w:hAnsi="仿宋_GB2312" w:eastAsia="仿宋_GB2312" w:cs="仿宋_GB2312"/>
          <w:color w:val="000000"/>
          <w:sz w:val="28"/>
          <w:szCs w:val="28"/>
          <w:lang w:val="en-US" w:eastAsia="zh-CN"/>
        </w:rPr>
        <w:t>1.7</w:t>
      </w:r>
      <w:r>
        <w:rPr>
          <w:rFonts w:hint="eastAsia" w:ascii="仿宋_GB2312" w:hAnsi="仿宋_GB2312" w:eastAsia="仿宋_GB2312" w:cs="仿宋_GB2312"/>
          <w:color w:val="000000"/>
          <w:sz w:val="28"/>
          <w:szCs w:val="28"/>
        </w:rPr>
        <w:t>%，纺织原料类价格下降1.</w:t>
      </w:r>
      <w:r>
        <w:rPr>
          <w:rFonts w:hint="eastAsia" w:ascii="仿宋_GB2312" w:hAnsi="仿宋_GB2312" w:eastAsia="仿宋_GB2312" w:cs="仿宋_GB2312"/>
          <w:color w:val="000000"/>
          <w:sz w:val="28"/>
          <w:szCs w:val="28"/>
          <w:lang w:val="en-US" w:eastAsia="zh-CN"/>
        </w:rPr>
        <w:t>6</w:t>
      </w:r>
      <w:r>
        <w:rPr>
          <w:rFonts w:hint="eastAsia" w:ascii="仿宋_GB2312" w:hAnsi="仿宋_GB2312" w:eastAsia="仿宋_GB2312" w:cs="仿宋_GB2312"/>
          <w:color w:val="000000"/>
          <w:sz w:val="28"/>
          <w:szCs w:val="28"/>
        </w:rPr>
        <w:t>%，其他工业原材料及半成品类价格</w:t>
      </w:r>
      <w:r>
        <w:rPr>
          <w:rFonts w:hint="eastAsia" w:ascii="仿宋_GB2312" w:hAnsi="仿宋_GB2312" w:eastAsia="仿宋_GB2312" w:cs="仿宋_GB2312"/>
          <w:color w:val="000000"/>
          <w:sz w:val="28"/>
          <w:szCs w:val="28"/>
          <w:lang w:eastAsia="zh-CN"/>
        </w:rPr>
        <w:t>下降</w:t>
      </w:r>
      <w:r>
        <w:rPr>
          <w:rFonts w:hint="eastAsia" w:ascii="仿宋_GB2312" w:hAnsi="仿宋_GB2312" w:eastAsia="仿宋_GB2312" w:cs="仿宋_GB2312"/>
          <w:color w:val="000000"/>
          <w:sz w:val="28"/>
          <w:szCs w:val="28"/>
          <w:lang w:val="en-US" w:eastAsia="zh-CN"/>
        </w:rPr>
        <w:t>0.3</w:t>
      </w:r>
      <w:r>
        <w:rPr>
          <w:rFonts w:hint="eastAsia" w:ascii="仿宋_GB2312" w:hAnsi="仿宋_GB2312" w:eastAsia="仿宋_GB2312" w:cs="仿宋_GB2312"/>
          <w:color w:val="000000"/>
          <w:sz w:val="28"/>
          <w:szCs w:val="28"/>
        </w:rPr>
        <w:t>%；化工原料类价格上涨</w:t>
      </w:r>
      <w:r>
        <w:rPr>
          <w:rFonts w:hint="eastAsia" w:ascii="仿宋_GB2312" w:hAnsi="仿宋_GB2312" w:eastAsia="仿宋_GB2312" w:cs="仿宋_GB2312"/>
          <w:color w:val="000000"/>
          <w:sz w:val="28"/>
          <w:szCs w:val="28"/>
          <w:lang w:val="en-US" w:eastAsia="zh-CN"/>
        </w:rPr>
        <w:t>4.4</w:t>
      </w:r>
      <w:r>
        <w:rPr>
          <w:rFonts w:hint="eastAsia" w:ascii="仿宋_GB2312" w:hAnsi="仿宋_GB2312" w:eastAsia="仿宋_GB2312" w:cs="仿宋_GB2312"/>
          <w:color w:val="000000"/>
          <w:sz w:val="28"/>
          <w:szCs w:val="28"/>
        </w:rPr>
        <w:t>%，燃料动力类价格上涨</w:t>
      </w:r>
      <w:r>
        <w:rPr>
          <w:rFonts w:hint="eastAsia" w:ascii="仿宋_GB2312" w:hAnsi="仿宋_GB2312" w:eastAsia="仿宋_GB2312" w:cs="仿宋_GB2312"/>
          <w:color w:val="000000"/>
          <w:sz w:val="28"/>
          <w:szCs w:val="28"/>
          <w:lang w:val="en-US" w:eastAsia="zh-CN"/>
        </w:rPr>
        <w:t>7.2</w:t>
      </w:r>
      <w:r>
        <w:rPr>
          <w:rFonts w:hint="eastAsia" w:ascii="仿宋_GB2312" w:hAnsi="仿宋_GB2312" w:eastAsia="仿宋_GB2312" w:cs="仿宋_GB2312"/>
          <w:color w:val="000000"/>
          <w:sz w:val="28"/>
          <w:szCs w:val="28"/>
        </w:rPr>
        <w:t>%，有色金属材料及电线类价格上涨</w:t>
      </w:r>
      <w:r>
        <w:rPr>
          <w:rFonts w:hint="eastAsia" w:ascii="仿宋_GB2312" w:hAnsi="仿宋_GB2312" w:eastAsia="仿宋_GB2312" w:cs="仿宋_GB2312"/>
          <w:color w:val="000000"/>
          <w:sz w:val="28"/>
          <w:szCs w:val="28"/>
          <w:lang w:val="en-US" w:eastAsia="zh-CN"/>
        </w:rPr>
        <w:t>20.1</w:t>
      </w:r>
      <w:r>
        <w:rPr>
          <w:rFonts w:hint="eastAsia" w:ascii="仿宋_GB2312" w:hAnsi="仿宋_GB2312" w:eastAsia="仿宋_GB2312" w:cs="仿宋_GB2312"/>
          <w:color w:val="000000"/>
          <w:sz w:val="28"/>
          <w:szCs w:val="28"/>
        </w:rPr>
        <w:t>%。</w:t>
      </w:r>
    </w:p>
    <w:p>
      <w:pPr>
        <w:pStyle w:val="5"/>
        <w:widowControl/>
        <w:spacing w:beforeAutospacing="0" w:afterAutospacing="0" w:line="530" w:lineRule="exact"/>
        <w:ind w:firstLine="562" w:firstLineChars="200"/>
        <w:jc w:val="both"/>
        <w:rPr>
          <w:rFonts w:hint="eastAsia" w:ascii="黑体" w:hAnsi="黑体" w:eastAsia="黑体" w:cs="黑体"/>
          <w:b/>
          <w:bCs/>
          <w:color w:val="000000"/>
          <w:sz w:val="28"/>
          <w:szCs w:val="28"/>
        </w:rPr>
      </w:pPr>
      <w:r>
        <w:rPr>
          <w:rFonts w:hint="eastAsia" w:ascii="黑体" w:hAnsi="黑体" w:eastAsia="黑体" w:cs="黑体"/>
          <w:b/>
          <w:bCs/>
          <w:color w:val="000000"/>
          <w:sz w:val="28"/>
          <w:szCs w:val="28"/>
        </w:rPr>
        <w:t>二、工业生产者价格环比变动情况</w:t>
      </w:r>
    </w:p>
    <w:p>
      <w:pPr>
        <w:pStyle w:val="5"/>
        <w:widowControl/>
        <w:spacing w:beforeAutospacing="0" w:afterAutospacing="0" w:line="530" w:lineRule="exact"/>
        <w:ind w:firstLine="560" w:firstLineChars="200"/>
        <w:jc w:val="both"/>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8</w:t>
      </w:r>
      <w:r>
        <w:rPr>
          <w:rFonts w:hint="eastAsia" w:ascii="仿宋_GB2312" w:hAnsi="仿宋_GB2312" w:eastAsia="仿宋_GB2312" w:cs="仿宋_GB2312"/>
          <w:color w:val="000000"/>
          <w:sz w:val="28"/>
          <w:szCs w:val="28"/>
        </w:rPr>
        <w:t>月份，工业生产者出厂价格中，生产资料价格</w:t>
      </w:r>
      <w:r>
        <w:rPr>
          <w:rFonts w:hint="eastAsia" w:ascii="仿宋_GB2312" w:hAnsi="仿宋_GB2312" w:eastAsia="仿宋_GB2312" w:cs="仿宋_GB2312"/>
          <w:color w:val="000000"/>
          <w:sz w:val="28"/>
          <w:szCs w:val="28"/>
          <w:lang w:eastAsia="zh-CN"/>
        </w:rPr>
        <w:t>上涨</w:t>
      </w:r>
      <w:r>
        <w:rPr>
          <w:rFonts w:hint="eastAsia" w:ascii="仿宋_GB2312" w:hAnsi="仿宋_GB2312" w:eastAsia="仿宋_GB2312" w:cs="仿宋_GB2312"/>
          <w:color w:val="000000"/>
          <w:sz w:val="28"/>
          <w:szCs w:val="28"/>
        </w:rPr>
        <w:t>0.</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rPr>
        <w:t>%，影响工业生产者出厂价格总水平</w:t>
      </w:r>
      <w:r>
        <w:rPr>
          <w:rFonts w:hint="eastAsia" w:ascii="仿宋_GB2312" w:hAnsi="仿宋_GB2312" w:eastAsia="仿宋_GB2312" w:cs="仿宋_GB2312"/>
          <w:color w:val="000000"/>
          <w:sz w:val="28"/>
          <w:szCs w:val="28"/>
          <w:lang w:eastAsia="zh-CN"/>
        </w:rPr>
        <w:t>上涨</w:t>
      </w:r>
      <w:r>
        <w:rPr>
          <w:rFonts w:hint="eastAsia" w:ascii="仿宋_GB2312" w:hAnsi="仿宋_GB2312" w:eastAsia="仿宋_GB2312" w:cs="仿宋_GB2312"/>
          <w:color w:val="000000"/>
          <w:sz w:val="28"/>
          <w:szCs w:val="28"/>
        </w:rPr>
        <w:t>约</w:t>
      </w:r>
      <w:r>
        <w:rPr>
          <w:rFonts w:hint="eastAsia" w:ascii="仿宋_GB2312" w:hAnsi="仿宋_GB2312" w:eastAsia="仿宋_GB2312" w:cs="仿宋_GB2312"/>
          <w:color w:val="000000"/>
          <w:sz w:val="28"/>
          <w:szCs w:val="28"/>
          <w:highlight w:val="none"/>
        </w:rPr>
        <w:t>0.</w:t>
      </w:r>
      <w:r>
        <w:rPr>
          <w:rFonts w:hint="eastAsia" w:ascii="仿宋_GB2312" w:hAnsi="仿宋_GB2312" w:eastAsia="仿宋_GB2312" w:cs="仿宋_GB2312"/>
          <w:color w:val="000000"/>
          <w:sz w:val="28"/>
          <w:szCs w:val="28"/>
          <w:highlight w:val="none"/>
          <w:lang w:val="en-US" w:eastAsia="zh-CN"/>
        </w:rPr>
        <w:t>21</w:t>
      </w:r>
      <w:r>
        <w:rPr>
          <w:rFonts w:hint="eastAsia" w:ascii="仿宋_GB2312" w:hAnsi="仿宋_GB2312" w:eastAsia="仿宋_GB2312" w:cs="仿宋_GB2312"/>
          <w:color w:val="000000"/>
          <w:sz w:val="28"/>
          <w:szCs w:val="28"/>
        </w:rPr>
        <w:t>个百分点。其中，采掘工业价格下降</w:t>
      </w:r>
      <w:r>
        <w:rPr>
          <w:rFonts w:hint="eastAsia" w:ascii="仿宋_GB2312" w:hAnsi="仿宋_GB2312" w:eastAsia="仿宋_GB2312" w:cs="仿宋_GB2312"/>
          <w:color w:val="000000"/>
          <w:sz w:val="28"/>
          <w:szCs w:val="28"/>
          <w:lang w:val="en-US" w:eastAsia="zh-CN"/>
        </w:rPr>
        <w:t>0.8</w:t>
      </w:r>
      <w:r>
        <w:rPr>
          <w:rFonts w:hint="eastAsia" w:ascii="仿宋_GB2312" w:hAnsi="仿宋_GB2312" w:eastAsia="仿宋_GB2312" w:cs="仿宋_GB2312"/>
          <w:color w:val="000000"/>
          <w:sz w:val="28"/>
          <w:szCs w:val="28"/>
        </w:rPr>
        <w:t>%，原材料工业价格</w:t>
      </w:r>
      <w:r>
        <w:rPr>
          <w:rFonts w:hint="eastAsia" w:ascii="仿宋_GB2312" w:hAnsi="仿宋_GB2312" w:eastAsia="仿宋_GB2312" w:cs="仿宋_GB2312"/>
          <w:color w:val="000000"/>
          <w:sz w:val="28"/>
          <w:szCs w:val="28"/>
          <w:lang w:eastAsia="zh-CN"/>
        </w:rPr>
        <w:t>上涨</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lang w:val="en-US" w:eastAsia="zh-CN"/>
        </w:rPr>
        <w:t>9</w:t>
      </w:r>
      <w:r>
        <w:rPr>
          <w:rFonts w:hint="eastAsia" w:ascii="仿宋_GB2312" w:hAnsi="仿宋_GB2312" w:eastAsia="仿宋_GB2312" w:cs="仿宋_GB2312"/>
          <w:color w:val="000000"/>
          <w:sz w:val="28"/>
          <w:szCs w:val="28"/>
        </w:rPr>
        <w:t>%，加工工业价格</w:t>
      </w:r>
      <w:r>
        <w:rPr>
          <w:rFonts w:hint="eastAsia" w:ascii="仿宋_GB2312" w:hAnsi="仿宋_GB2312" w:eastAsia="仿宋_GB2312" w:cs="仿宋_GB2312"/>
          <w:color w:val="000000"/>
          <w:sz w:val="28"/>
          <w:szCs w:val="28"/>
          <w:lang w:eastAsia="zh-CN"/>
        </w:rPr>
        <w:t>下降</w:t>
      </w:r>
      <w:r>
        <w:rPr>
          <w:rFonts w:hint="eastAsia" w:ascii="仿宋_GB2312" w:hAnsi="仿宋_GB2312" w:eastAsia="仿宋_GB2312" w:cs="仿宋_GB2312"/>
          <w:color w:val="000000"/>
          <w:sz w:val="28"/>
          <w:szCs w:val="28"/>
          <w:lang w:val="en-US" w:eastAsia="zh-CN"/>
        </w:rPr>
        <w:t>0.1</w:t>
      </w:r>
      <w:r>
        <w:rPr>
          <w:rFonts w:hint="eastAsia" w:ascii="仿宋_GB2312" w:hAnsi="仿宋_GB2312" w:eastAsia="仿宋_GB2312" w:cs="仿宋_GB2312"/>
          <w:color w:val="000000"/>
          <w:sz w:val="28"/>
          <w:szCs w:val="28"/>
        </w:rPr>
        <w:t>%。生活资料价格</w:t>
      </w:r>
      <w:r>
        <w:rPr>
          <w:rFonts w:hint="eastAsia" w:ascii="仿宋_GB2312" w:hAnsi="仿宋_GB2312" w:eastAsia="仿宋_GB2312" w:cs="仿宋_GB2312"/>
          <w:color w:val="000000"/>
          <w:sz w:val="28"/>
          <w:szCs w:val="28"/>
          <w:lang w:eastAsia="zh-CN"/>
        </w:rPr>
        <w:t>上涨</w:t>
      </w:r>
      <w:r>
        <w:rPr>
          <w:rFonts w:hint="eastAsia" w:ascii="仿宋_GB2312" w:hAnsi="仿宋_GB2312" w:eastAsia="仿宋_GB2312" w:cs="仿宋_GB2312"/>
          <w:color w:val="000000"/>
          <w:sz w:val="28"/>
          <w:szCs w:val="28"/>
          <w:lang w:val="en-US" w:eastAsia="zh-CN"/>
        </w:rPr>
        <w:t>0.5</w:t>
      </w:r>
      <w:r>
        <w:rPr>
          <w:rFonts w:hint="eastAsia" w:ascii="仿宋_GB2312" w:hAnsi="仿宋_GB2312" w:eastAsia="仿宋_GB2312" w:cs="仿宋_GB2312"/>
          <w:color w:val="000000"/>
          <w:sz w:val="28"/>
          <w:szCs w:val="28"/>
        </w:rPr>
        <w:t>%，影响工业生产者出厂价格总水平</w:t>
      </w:r>
      <w:r>
        <w:rPr>
          <w:rFonts w:hint="eastAsia" w:ascii="仿宋_GB2312" w:hAnsi="仿宋_GB2312" w:eastAsia="仿宋_GB2312" w:cs="仿宋_GB2312"/>
          <w:color w:val="000000"/>
          <w:sz w:val="28"/>
          <w:szCs w:val="28"/>
          <w:lang w:eastAsia="zh-CN"/>
        </w:rPr>
        <w:t>上涨</w:t>
      </w:r>
      <w:r>
        <w:rPr>
          <w:rFonts w:hint="eastAsia" w:ascii="仿宋_GB2312" w:hAnsi="仿宋_GB2312" w:eastAsia="仿宋_GB2312" w:cs="仿宋_GB2312"/>
          <w:color w:val="000000"/>
          <w:sz w:val="28"/>
          <w:szCs w:val="28"/>
        </w:rPr>
        <w:t>约0.</w:t>
      </w:r>
      <w:r>
        <w:rPr>
          <w:rFonts w:hint="eastAsia" w:ascii="仿宋_GB2312" w:hAnsi="仿宋_GB2312" w:eastAsia="仿宋_GB2312" w:cs="仿宋_GB2312"/>
          <w:color w:val="000000"/>
          <w:sz w:val="28"/>
          <w:szCs w:val="28"/>
          <w:lang w:val="en-US" w:eastAsia="zh-CN"/>
        </w:rPr>
        <w:t>13</w:t>
      </w:r>
      <w:r>
        <w:rPr>
          <w:rFonts w:hint="eastAsia" w:ascii="仿宋_GB2312" w:hAnsi="仿宋_GB2312" w:eastAsia="仿宋_GB2312" w:cs="仿宋_GB2312"/>
          <w:color w:val="000000"/>
          <w:sz w:val="28"/>
          <w:szCs w:val="28"/>
        </w:rPr>
        <w:t>个百分点。其中，食品价格与上月持平，衣着价格上涨</w:t>
      </w:r>
      <w:r>
        <w:rPr>
          <w:rFonts w:hint="eastAsia" w:ascii="仿宋_GB2312" w:hAnsi="仿宋_GB2312" w:eastAsia="仿宋_GB2312" w:cs="仿宋_GB2312"/>
          <w:color w:val="000000"/>
          <w:sz w:val="28"/>
          <w:szCs w:val="28"/>
          <w:lang w:val="en-US" w:eastAsia="zh-CN"/>
        </w:rPr>
        <w:t>0.1</w:t>
      </w:r>
      <w:r>
        <w:rPr>
          <w:rFonts w:hint="eastAsia" w:ascii="仿宋_GB2312" w:hAnsi="仿宋_GB2312" w:eastAsia="仿宋_GB2312" w:cs="仿宋_GB2312"/>
          <w:color w:val="000000"/>
          <w:sz w:val="28"/>
          <w:szCs w:val="28"/>
        </w:rPr>
        <w:t>%，一般日用品价格下降0.</w:t>
      </w: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rPr>
        <w:t>%，耐用消费品价格</w:t>
      </w:r>
      <w:r>
        <w:rPr>
          <w:rFonts w:hint="eastAsia" w:ascii="仿宋_GB2312" w:hAnsi="仿宋_GB2312" w:eastAsia="仿宋_GB2312" w:cs="仿宋_GB2312"/>
          <w:color w:val="000000"/>
          <w:sz w:val="28"/>
          <w:szCs w:val="28"/>
          <w:lang w:eastAsia="zh-CN"/>
        </w:rPr>
        <w:t>上涨</w:t>
      </w:r>
      <w:r>
        <w:rPr>
          <w:rFonts w:hint="eastAsia" w:ascii="仿宋_GB2312" w:hAnsi="仿宋_GB2312" w:eastAsia="仿宋_GB2312" w:cs="仿宋_GB2312"/>
          <w:color w:val="000000"/>
          <w:sz w:val="28"/>
          <w:szCs w:val="28"/>
          <w:lang w:val="en-US" w:eastAsia="zh-CN"/>
        </w:rPr>
        <w:t>1.0</w:t>
      </w:r>
      <w:r>
        <w:rPr>
          <w:rFonts w:hint="eastAsia" w:ascii="仿宋_GB2312" w:hAnsi="仿宋_GB2312" w:eastAsia="仿宋_GB2312" w:cs="仿宋_GB2312"/>
          <w:color w:val="000000"/>
          <w:sz w:val="28"/>
          <w:szCs w:val="28"/>
        </w:rPr>
        <w:t>%。</w:t>
      </w:r>
    </w:p>
    <w:p>
      <w:pPr>
        <w:pStyle w:val="5"/>
        <w:widowControl/>
        <w:spacing w:beforeAutospacing="0" w:afterAutospacing="0" w:line="530" w:lineRule="exact"/>
        <w:ind w:firstLine="560" w:firstLineChars="200"/>
        <w:jc w:val="both"/>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工业生产者购进价格中，化工原料类价格下降</w:t>
      </w:r>
      <w:r>
        <w:rPr>
          <w:rFonts w:hint="eastAsia" w:ascii="仿宋_GB2312" w:hAnsi="仿宋_GB2312" w:eastAsia="仿宋_GB2312" w:cs="仿宋_GB2312"/>
          <w:color w:val="000000"/>
          <w:sz w:val="28"/>
          <w:szCs w:val="28"/>
          <w:lang w:val="en-US" w:eastAsia="zh-CN"/>
        </w:rPr>
        <w:t>0.7</w:t>
      </w:r>
      <w:r>
        <w:rPr>
          <w:rFonts w:hint="eastAsia" w:ascii="仿宋_GB2312" w:hAnsi="仿宋_GB2312" w:eastAsia="仿宋_GB2312" w:cs="仿宋_GB2312"/>
          <w:color w:val="000000"/>
          <w:sz w:val="28"/>
          <w:szCs w:val="28"/>
        </w:rPr>
        <w:t>%，黑色金属材料类价格下降</w:t>
      </w:r>
      <w:r>
        <w:rPr>
          <w:rFonts w:hint="eastAsia" w:ascii="仿宋_GB2312" w:hAnsi="仿宋_GB2312" w:eastAsia="仿宋_GB2312" w:cs="仿宋_GB2312"/>
          <w:color w:val="000000"/>
          <w:sz w:val="28"/>
          <w:szCs w:val="28"/>
          <w:lang w:val="en-US" w:eastAsia="zh-CN"/>
        </w:rPr>
        <w:t>0.5</w:t>
      </w:r>
      <w:r>
        <w:rPr>
          <w:rFonts w:hint="eastAsia" w:ascii="仿宋_GB2312" w:hAnsi="仿宋_GB2312" w:eastAsia="仿宋_GB2312" w:cs="仿宋_GB2312"/>
          <w:color w:val="000000"/>
          <w:sz w:val="28"/>
          <w:szCs w:val="28"/>
        </w:rPr>
        <w:t>%，纺织原料类价格</w:t>
      </w:r>
      <w:r>
        <w:rPr>
          <w:rFonts w:hint="eastAsia" w:ascii="仿宋_GB2312" w:hAnsi="仿宋_GB2312" w:eastAsia="仿宋_GB2312" w:cs="仿宋_GB2312"/>
          <w:color w:val="000000"/>
          <w:sz w:val="28"/>
          <w:szCs w:val="28"/>
          <w:lang w:eastAsia="zh-CN"/>
        </w:rPr>
        <w:t>下降</w:t>
      </w:r>
      <w:r>
        <w:rPr>
          <w:rFonts w:hint="eastAsia" w:ascii="仿宋_GB2312" w:hAnsi="仿宋_GB2312" w:eastAsia="仿宋_GB2312" w:cs="仿宋_GB2312"/>
          <w:color w:val="000000"/>
          <w:sz w:val="28"/>
          <w:szCs w:val="28"/>
          <w:lang w:val="en-US" w:eastAsia="zh-CN"/>
        </w:rPr>
        <w:t>0.2</w:t>
      </w: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其他工业原材料及半成品类价格下降0.</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%；木材及纸浆类价格</w:t>
      </w:r>
      <w:r>
        <w:rPr>
          <w:rFonts w:hint="eastAsia" w:ascii="仿宋_GB2312" w:hAnsi="仿宋_GB2312" w:eastAsia="仿宋_GB2312" w:cs="仿宋_GB2312"/>
          <w:color w:val="000000"/>
          <w:sz w:val="28"/>
          <w:szCs w:val="28"/>
          <w:lang w:eastAsia="zh-CN"/>
        </w:rPr>
        <w:t>与上月持平；</w:t>
      </w:r>
      <w:r>
        <w:rPr>
          <w:rFonts w:hint="eastAsia" w:ascii="仿宋_GB2312" w:hAnsi="仿宋_GB2312" w:eastAsia="仿宋_GB2312" w:cs="仿宋_GB2312"/>
          <w:color w:val="000000"/>
          <w:sz w:val="28"/>
          <w:szCs w:val="28"/>
        </w:rPr>
        <w:t>建筑材料及非金属类价格上涨0.</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rPr>
        <w:t>%，农副产品类价格</w:t>
      </w:r>
      <w:r>
        <w:rPr>
          <w:rFonts w:hint="eastAsia" w:ascii="仿宋_GB2312" w:hAnsi="仿宋_GB2312" w:eastAsia="仿宋_GB2312" w:cs="仿宋_GB2312"/>
          <w:color w:val="000000"/>
          <w:sz w:val="28"/>
          <w:szCs w:val="28"/>
          <w:lang w:eastAsia="zh-CN"/>
        </w:rPr>
        <w:t>上涨</w:t>
      </w:r>
      <w:r>
        <w:rPr>
          <w:rFonts w:hint="eastAsia" w:ascii="仿宋_GB2312" w:hAnsi="仿宋_GB2312" w:eastAsia="仿宋_GB2312" w:cs="仿宋_GB2312"/>
          <w:color w:val="000000"/>
          <w:sz w:val="28"/>
          <w:szCs w:val="28"/>
          <w:lang w:val="en-US" w:eastAsia="zh-CN"/>
        </w:rPr>
        <w:t>1.3</w:t>
      </w:r>
      <w:r>
        <w:rPr>
          <w:rFonts w:hint="eastAsia" w:ascii="仿宋_GB2312" w:hAnsi="仿宋_GB2312" w:eastAsia="仿宋_GB2312" w:cs="仿宋_GB2312"/>
          <w:color w:val="000000"/>
          <w:sz w:val="28"/>
          <w:szCs w:val="28"/>
        </w:rPr>
        <w:t>%，有色金属材料及电线类价格</w:t>
      </w:r>
      <w:r>
        <w:rPr>
          <w:rFonts w:hint="eastAsia" w:ascii="仿宋_GB2312" w:hAnsi="仿宋_GB2312" w:eastAsia="仿宋_GB2312" w:cs="仿宋_GB2312"/>
          <w:color w:val="000000"/>
          <w:sz w:val="28"/>
          <w:szCs w:val="28"/>
          <w:lang w:eastAsia="zh-CN"/>
        </w:rPr>
        <w:t>上涨</w:t>
      </w:r>
      <w:r>
        <w:rPr>
          <w:rFonts w:hint="eastAsia" w:ascii="仿宋_GB2312" w:hAnsi="仿宋_GB2312" w:eastAsia="仿宋_GB2312" w:cs="仿宋_GB2312"/>
          <w:color w:val="000000"/>
          <w:sz w:val="28"/>
          <w:szCs w:val="28"/>
          <w:lang w:val="en-US" w:eastAsia="zh-CN"/>
        </w:rPr>
        <w:t>2.5</w:t>
      </w: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燃料动力类价格</w:t>
      </w:r>
      <w:r>
        <w:rPr>
          <w:rFonts w:hint="eastAsia" w:ascii="仿宋_GB2312" w:hAnsi="仿宋_GB2312" w:eastAsia="仿宋_GB2312" w:cs="仿宋_GB2312"/>
          <w:color w:val="000000"/>
          <w:sz w:val="28"/>
          <w:szCs w:val="28"/>
          <w:lang w:eastAsia="zh-CN"/>
        </w:rPr>
        <w:t>上涨</w:t>
      </w:r>
      <w:r>
        <w:rPr>
          <w:rFonts w:hint="eastAsia" w:ascii="仿宋_GB2312" w:hAnsi="仿宋_GB2312" w:eastAsia="仿宋_GB2312" w:cs="仿宋_GB2312"/>
          <w:color w:val="000000"/>
          <w:sz w:val="28"/>
          <w:szCs w:val="28"/>
          <w:lang w:val="en-US" w:eastAsia="zh-CN"/>
        </w:rPr>
        <w:t>5.2</w:t>
      </w: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lang w:eastAsia="zh-CN"/>
        </w:rPr>
        <w:t>。</w:t>
      </w:r>
    </w:p>
    <w:p/>
    <w:p/>
    <w:p/>
    <w:p/>
    <w:p/>
    <w:p/>
    <w:p/>
    <w:p/>
    <w:p/>
    <w:p/>
    <w:p/>
    <w:p/>
    <w:p/>
    <w:p/>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pPr>
        <w:pStyle w:val="4"/>
        <w:spacing w:line="280" w:lineRule="exact"/>
        <w:rPr>
          <w:rFonts w:hint="eastAsia" w:ascii="楷体" w:hAnsi="楷体" w:eastAsia="楷体" w:cs="楷体"/>
          <w:b/>
          <w:bCs/>
        </w:rPr>
      </w:pPr>
      <w:r>
        <w:rPr>
          <w:rStyle w:val="9"/>
        </w:rPr>
        <w:footnoteRef/>
      </w:r>
      <w:r>
        <w:rPr>
          <w:rFonts w:hint="eastAsia" w:ascii="楷体" w:hAnsi="楷体" w:eastAsia="楷体" w:cs="楷体"/>
          <w:b/>
          <w:bCs/>
        </w:rPr>
        <w:t xml:space="preserve"> </w:t>
      </w:r>
      <w:r>
        <w:rPr>
          <w:rFonts w:hint="default" w:ascii="楷体" w:hAnsi="楷体" w:eastAsia="楷体" w:cs="楷体"/>
          <w:b/>
          <w:bCs/>
          <w:lang w:val="en-US"/>
        </w:rPr>
        <w:t xml:space="preserve">  </w:t>
      </w:r>
      <w:r>
        <w:rPr>
          <w:rFonts w:hint="eastAsia" w:ascii="楷体" w:hAnsi="楷体" w:eastAsia="楷体" w:cs="楷体"/>
          <w:b/>
          <w:bCs/>
        </w:rPr>
        <w:t>由于“四舍五入”原因，保留一位小数后，有时会出现各分类价格变动对价格总水平的影响合计数与价格总水平变动幅度不一致的情况。</w:t>
      </w:r>
      <w:bookmarkStart w:id="0" w:name="_GoBack"/>
      <w:bookmarkEnd w:id="0"/>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2"/>
    <w:footnote w:id="3"/>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001F7585"/>
    <w:rsid w:val="0022429C"/>
    <w:rsid w:val="00296CFC"/>
    <w:rsid w:val="003A3937"/>
    <w:rsid w:val="003D33CE"/>
    <w:rsid w:val="00403ADB"/>
    <w:rsid w:val="006E0F96"/>
    <w:rsid w:val="0085315C"/>
    <w:rsid w:val="00876358"/>
    <w:rsid w:val="00B75C7E"/>
    <w:rsid w:val="00B83805"/>
    <w:rsid w:val="00C544BF"/>
    <w:rsid w:val="00D076BD"/>
    <w:rsid w:val="00E47818"/>
    <w:rsid w:val="00E640D5"/>
    <w:rsid w:val="00ED148C"/>
    <w:rsid w:val="00F75DCF"/>
    <w:rsid w:val="07BE70A0"/>
    <w:rsid w:val="1B7B1B53"/>
    <w:rsid w:val="1F679631"/>
    <w:rsid w:val="258A8403"/>
    <w:rsid w:val="29FC8344"/>
    <w:rsid w:val="2BD78445"/>
    <w:rsid w:val="30F43ECF"/>
    <w:rsid w:val="37637C98"/>
    <w:rsid w:val="37ED3B93"/>
    <w:rsid w:val="3D3BEA8E"/>
    <w:rsid w:val="3D6CBAC4"/>
    <w:rsid w:val="3D9D2A20"/>
    <w:rsid w:val="3F3FA305"/>
    <w:rsid w:val="3F6A4D8B"/>
    <w:rsid w:val="3F73221B"/>
    <w:rsid w:val="3FBF9237"/>
    <w:rsid w:val="3FDAA177"/>
    <w:rsid w:val="46DBECA2"/>
    <w:rsid w:val="4A1947CF"/>
    <w:rsid w:val="4A7F31BE"/>
    <w:rsid w:val="4BBFE6F5"/>
    <w:rsid w:val="4FFB22F5"/>
    <w:rsid w:val="57EFC9C1"/>
    <w:rsid w:val="59FF7AAF"/>
    <w:rsid w:val="5A1F2D90"/>
    <w:rsid w:val="5D5EA009"/>
    <w:rsid w:val="5E35DF01"/>
    <w:rsid w:val="5F0F95BA"/>
    <w:rsid w:val="5F92EC97"/>
    <w:rsid w:val="636CBE44"/>
    <w:rsid w:val="657FC803"/>
    <w:rsid w:val="65EFDD94"/>
    <w:rsid w:val="66FF8406"/>
    <w:rsid w:val="67B5BD7D"/>
    <w:rsid w:val="67F74965"/>
    <w:rsid w:val="67FD5670"/>
    <w:rsid w:val="6B3D7CC4"/>
    <w:rsid w:val="6BFE3025"/>
    <w:rsid w:val="6CFFAC80"/>
    <w:rsid w:val="6D2FA2DE"/>
    <w:rsid w:val="6FF99B7B"/>
    <w:rsid w:val="6FF9B589"/>
    <w:rsid w:val="6FFF49C2"/>
    <w:rsid w:val="75FE1714"/>
    <w:rsid w:val="777A6913"/>
    <w:rsid w:val="777E64C6"/>
    <w:rsid w:val="77BA5E10"/>
    <w:rsid w:val="77DF0B93"/>
    <w:rsid w:val="77F5F4EF"/>
    <w:rsid w:val="7A695400"/>
    <w:rsid w:val="7AEDF3E1"/>
    <w:rsid w:val="7BCEF30A"/>
    <w:rsid w:val="7BEF56F0"/>
    <w:rsid w:val="7D3865F4"/>
    <w:rsid w:val="7D77F253"/>
    <w:rsid w:val="7D7D5645"/>
    <w:rsid w:val="7DD6AC6B"/>
    <w:rsid w:val="7ED4FDEB"/>
    <w:rsid w:val="7EDBCD7C"/>
    <w:rsid w:val="7F3EDEF5"/>
    <w:rsid w:val="7F790360"/>
    <w:rsid w:val="7F7B4775"/>
    <w:rsid w:val="7FAF84A6"/>
    <w:rsid w:val="7FBF38ED"/>
    <w:rsid w:val="7FDF4AB0"/>
    <w:rsid w:val="7FEF7AD5"/>
    <w:rsid w:val="97BB8D3F"/>
    <w:rsid w:val="9ABDD89E"/>
    <w:rsid w:val="9DCBC4F4"/>
    <w:rsid w:val="9FECEE20"/>
    <w:rsid w:val="A6F5005A"/>
    <w:rsid w:val="AE1F125E"/>
    <w:rsid w:val="AECD87A5"/>
    <w:rsid w:val="AEFB55E1"/>
    <w:rsid w:val="B67E1798"/>
    <w:rsid w:val="B76F004A"/>
    <w:rsid w:val="B77F809E"/>
    <w:rsid w:val="BA1D638A"/>
    <w:rsid w:val="BBF7A7D8"/>
    <w:rsid w:val="BF139F29"/>
    <w:rsid w:val="BF9FD923"/>
    <w:rsid w:val="BFBBD4ED"/>
    <w:rsid w:val="BFBEFB12"/>
    <w:rsid w:val="BFDF1BB9"/>
    <w:rsid w:val="BFFB7BD3"/>
    <w:rsid w:val="C4DF29EC"/>
    <w:rsid w:val="C9E7CCAF"/>
    <w:rsid w:val="C9FFDD3E"/>
    <w:rsid w:val="CCFF4613"/>
    <w:rsid w:val="CD276C7D"/>
    <w:rsid w:val="CDF25846"/>
    <w:rsid w:val="CEDDBF0B"/>
    <w:rsid w:val="D3EF9001"/>
    <w:rsid w:val="D4FF0621"/>
    <w:rsid w:val="D6BD7970"/>
    <w:rsid w:val="DCFD8AEC"/>
    <w:rsid w:val="DDCFDBB7"/>
    <w:rsid w:val="DEDFDD8C"/>
    <w:rsid w:val="DF3FE3DB"/>
    <w:rsid w:val="DF6768A8"/>
    <w:rsid w:val="DFB7C017"/>
    <w:rsid w:val="E375EB1C"/>
    <w:rsid w:val="E5BED32A"/>
    <w:rsid w:val="E7E677D8"/>
    <w:rsid w:val="E97F3D77"/>
    <w:rsid w:val="EAFE6B74"/>
    <w:rsid w:val="EF3B9B9F"/>
    <w:rsid w:val="EF6791FE"/>
    <w:rsid w:val="F1F77705"/>
    <w:rsid w:val="F4BF0EEC"/>
    <w:rsid w:val="F4DB8E5B"/>
    <w:rsid w:val="F7FFA631"/>
    <w:rsid w:val="F8BDAC80"/>
    <w:rsid w:val="F8FF05AB"/>
    <w:rsid w:val="FAF44D23"/>
    <w:rsid w:val="FBD10323"/>
    <w:rsid w:val="FBFFF670"/>
    <w:rsid w:val="FCC11A1C"/>
    <w:rsid w:val="FCD76A3D"/>
    <w:rsid w:val="FDBED329"/>
    <w:rsid w:val="FDEC03F1"/>
    <w:rsid w:val="FDFD0E43"/>
    <w:rsid w:val="FF1CC114"/>
    <w:rsid w:val="FF6FDFD6"/>
    <w:rsid w:val="FF9FE9E6"/>
    <w:rsid w:val="FFBF6455"/>
    <w:rsid w:val="FFCF3B12"/>
    <w:rsid w:val="FFFD81ED"/>
    <w:rsid w:val="FFFF6C93"/>
    <w:rsid w:val="FFFF73A7"/>
    <w:rsid w:val="FFFFD6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note text"/>
    <w:basedOn w:val="1"/>
    <w:qFormat/>
    <w:uiPriority w:val="0"/>
    <w:pPr>
      <w:snapToGrid w:val="0"/>
      <w:jc w:val="left"/>
    </w:pPr>
    <w:rPr>
      <w:sz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Hyperlink"/>
    <w:basedOn w:val="7"/>
    <w:qFormat/>
    <w:uiPriority w:val="0"/>
    <w:rPr>
      <w:color w:val="0000FF"/>
      <w:u w:val="single"/>
    </w:rPr>
  </w:style>
  <w:style w:type="character" w:styleId="9">
    <w:name w:val="footnote reference"/>
    <w:basedOn w:val="7"/>
    <w:qFormat/>
    <w:uiPriority w:val="0"/>
    <w:rPr>
      <w:vertAlign w:val="superscript"/>
    </w:rPr>
  </w:style>
  <w:style w:type="character" w:customStyle="1" w:styleId="10">
    <w:name w:val="font41"/>
    <w:basedOn w:val="7"/>
    <w:qFormat/>
    <w:uiPriority w:val="0"/>
    <w:rPr>
      <w:rFonts w:hint="eastAsia" w:ascii="宋体" w:hAnsi="宋体" w:eastAsia="宋体" w:cs="宋体"/>
      <w:color w:val="000000"/>
      <w:sz w:val="24"/>
      <w:szCs w:val="24"/>
      <w:u w:val="none"/>
    </w:rPr>
  </w:style>
  <w:style w:type="character" w:customStyle="1" w:styleId="11">
    <w:name w:val="font31"/>
    <w:basedOn w:val="7"/>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hart" Target="charts/chart4.xml"/><Relationship Id="rId7" Type="http://schemas.openxmlformats.org/officeDocument/2006/relationships/chart" Target="charts/chart3.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media/data/&#21016;&#32434;F/&#19978;&#25253;&#21453;&#39304;/&#24037;&#19994;&#31616;&#20917;/&#24037;&#19994;&#31616;&#20917;-2026&#24180;8&#26376;/Word&#37324;&#30011;&#22270;&#30340;&#25968;&#25454;.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media/data/&#21016;&#32434;F/&#19978;&#25253;&#21453;&#39304;/&#24037;&#19994;&#31616;&#20917;/&#24037;&#19994;&#31616;&#20917;-2026&#24180;8&#26376;/Word&#37324;&#30011;&#22270;&#30340;&#25968;&#25454;.xlsx" TargetMode="External"/></Relationships>
</file>

<file path=word/charts/_rels/chart3.xml.rels><?xml version="1.0" encoding="UTF-8" standalone="yes"?>
<Relationships xmlns="http://schemas.openxmlformats.org/package/2006/relationships"><Relationship Id="rId4" Type="http://schemas.microsoft.com/office/2011/relationships/chartColorStyle" Target="colors3.xml"/><Relationship Id="rId3" Type="http://schemas.microsoft.com/office/2011/relationships/chartStyle" Target="style3.xml"/><Relationship Id="rId2" Type="http://schemas.openxmlformats.org/officeDocument/2006/relationships/chartUserShapes" Target="../drawings/drawing1.xml"/><Relationship Id="rId1" Type="http://schemas.openxmlformats.org/officeDocument/2006/relationships/oleObject" Target="/media/data/&#21016;&#32434;F/&#19978;&#25253;&#21453;&#39304;/&#24037;&#19994;&#31616;&#20917;/&#24037;&#19994;&#31616;&#20917;-2026&#24180;8&#26376;/Word&#37324;&#30011;&#22270;&#30340;&#25968;&#25454;.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media/data/&#21016;&#32434;F/&#19978;&#25253;&#21453;&#39304;/&#24037;&#19994;&#31616;&#20917;/&#24037;&#19994;&#31616;&#20917;-2026&#24180;8&#26376;/Word&#37324;&#30011;&#22270;&#30340;&#25968;&#2545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917889417938004"/>
          <c:y val="0.155827524590971"/>
          <c:w val="0.870702555631134"/>
          <c:h val="0.605404208194906"/>
        </c:manualLayout>
      </c:layout>
      <c:lineChart>
        <c:grouping val="standard"/>
        <c:varyColors val="0"/>
        <c:ser>
          <c:idx val="0"/>
          <c:order val="0"/>
          <c:tx>
            <c:strRef>
              <c:f>[Word里画图的数据.xlsx]Sheet1!$B$2</c:f>
              <c:strCache>
                <c:ptCount val="1"/>
                <c:pt idx="0">
                  <c:v>同比</c:v>
                </c:pt>
              </c:strCache>
            </c:strRef>
          </c:tx>
          <c:spPr>
            <a:ln w="28575" cap="rnd">
              <a:solidFill>
                <a:schemeClr val="accent1"/>
              </a:solidFill>
              <a:round/>
            </a:ln>
            <a:effectLst/>
          </c:spPr>
          <c:marker>
            <c:symbol val="triangle"/>
            <c:size val="5"/>
            <c:spPr>
              <a:solidFill>
                <a:schemeClr val="accent1"/>
              </a:solidFill>
              <a:ln w="9525">
                <a:solidFill>
                  <a:schemeClr val="accent1"/>
                </a:solidFill>
              </a:ln>
              <a:effectLst/>
            </c:spPr>
          </c:marker>
          <c:dLbls>
            <c:dLbl>
              <c:idx val="0"/>
              <c:layout>
                <c:manualLayout>
                  <c:x val="-0.00662193183824828"/>
                  <c:y val="-0.0961153384060873"/>
                </c:manualLayout>
              </c:layout>
              <c:dLblPos val="b"/>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0.0127799140465958"/>
                  <c:y val="-0.0907769007062734"/>
                </c:manualLayout>
              </c:layout>
              <c:dLblPos val="b"/>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0.0132438636764966"/>
                  <c:y val="-0.0780937124549459"/>
                </c:manualLayout>
              </c:layout>
              <c:dLblPos val="b"/>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0.0041845736258765"/>
                  <c:y val="-0.0130868300789364"/>
                </c:manualLayout>
              </c:layout>
              <c:dLblPos val="b"/>
              <c:showLegendKey val="0"/>
              <c:showVal val="1"/>
              <c:showCatName val="0"/>
              <c:showSerName val="0"/>
              <c:showPercent val="0"/>
              <c:showBubbleSize val="0"/>
              <c:extLst>
                <c:ext xmlns:c15="http://schemas.microsoft.com/office/drawing/2012/chart" uri="{CE6537A1-D6FC-4f65-9D91-7224C49458BB}">
                  <c15:layout/>
                </c:ext>
              </c:extLst>
            </c:dLbl>
            <c:dLbl>
              <c:idx val="11"/>
              <c:layout>
                <c:manualLayout>
                  <c:x val="0.00282741461207872"/>
                  <c:y val="-0.0986705442459493"/>
                </c:manualLayout>
              </c:layout>
              <c:dLblPos val="b"/>
              <c:showLegendKey val="0"/>
              <c:showVal val="1"/>
              <c:showCatName val="0"/>
              <c:showSerName val="0"/>
              <c:showPercent val="0"/>
              <c:showBubbleSize val="0"/>
              <c:extLst>
                <c:ext xmlns:c15="http://schemas.microsoft.com/office/drawing/2012/chart" uri="{CE6537A1-D6FC-4f65-9D91-7224C49458BB}">
                  <c15:layout/>
                </c:ext>
              </c:extLst>
            </c:dLbl>
            <c:dLbl>
              <c:idx val="12"/>
              <c:layout>
                <c:manualLayout>
                  <c:x val="0.00848224383623614"/>
                  <c:y val="-0.0907769007062734"/>
                </c:manualLayout>
              </c:layout>
              <c:dLblPos val="b"/>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[Word里画图的数据.xlsx]Sheet1!$V$1:$AH$1</c:f>
              <c:strCache>
                <c:ptCount val="13"/>
                <c:pt idx="0" c:formatCode="yyyy&quot;年&quot;m&quot;月&quot;">
                  <c:v>2025年8月</c:v>
                </c:pt>
                <c:pt idx="1">
                  <c:v>9月</c:v>
                </c:pt>
                <c:pt idx="2">
                  <c:v>10月</c:v>
                </c:pt>
                <c:pt idx="3">
                  <c:v>11月</c:v>
                </c:pt>
                <c:pt idx="4">
                  <c:v>12月</c:v>
                </c:pt>
                <c:pt idx="5" c:formatCode="yyyy&quot;年&quot;m&quot;月&quot;">
                  <c:v>2026年1月</c:v>
                </c:pt>
                <c:pt idx="6">
                  <c:v>2月</c:v>
                </c:pt>
                <c:pt idx="7">
                  <c:v>3月</c:v>
                </c:pt>
                <c:pt idx="8">
                  <c:v>4月</c:v>
                </c:pt>
                <c:pt idx="9">
                  <c:v>5月</c:v>
                </c:pt>
                <c:pt idx="10">
                  <c:v>6月</c:v>
                </c:pt>
                <c:pt idx="11">
                  <c:v>7月</c:v>
                </c:pt>
                <c:pt idx="12">
                  <c:v>8月</c:v>
                </c:pt>
              </c:strCache>
            </c:strRef>
          </c:cat>
          <c:val>
            <c:numRef>
              <c:f>[Word里画图的数据.xlsx]Sheet1!$V$2:$AH$2</c:f>
              <c:numCache>
                <c:formatCode>0.0_ </c:formatCode>
                <c:ptCount val="13"/>
                <c:pt idx="0">
                  <c:v>-1.94969999999999</c:v>
                </c:pt>
                <c:pt idx="1">
                  <c:v>-1.8</c:v>
                </c:pt>
                <c:pt idx="2">
                  <c:v>-0.8</c:v>
                </c:pt>
                <c:pt idx="3">
                  <c:v>-1</c:v>
                </c:pt>
                <c:pt idx="4">
                  <c:v>-0.8</c:v>
                </c:pt>
                <c:pt idx="5">
                  <c:v>-1.8</c:v>
                </c:pt>
                <c:pt idx="6">
                  <c:v>-0.8</c:v>
                </c:pt>
                <c:pt idx="7">
                  <c:v>-0.3</c:v>
                </c:pt>
                <c:pt idx="8">
                  <c:v>1.69916773322269</c:v>
                </c:pt>
                <c:pt idx="9">
                  <c:v>2.27576567954701</c:v>
                </c:pt>
                <c:pt idx="10">
                  <c:v>1.8878905130944</c:v>
                </c:pt>
                <c:pt idx="11">
                  <c:v>1.28715779972438</c:v>
                </c:pt>
                <c:pt idx="12">
                  <c:v>1.60044420156996</c:v>
                </c:pt>
              </c:numCache>
            </c:numRef>
          </c:val>
          <c:smooth val="0"/>
        </c:ser>
        <c:ser>
          <c:idx val="1"/>
          <c:order val="1"/>
          <c:tx>
            <c:strRef>
              <c:f>[Word里画图的数据.xlsx]Sheet1!$B$3</c:f>
              <c:strCache>
                <c:ptCount val="1"/>
                <c:pt idx="0">
                  <c:v>环比</c:v>
                </c:pt>
              </c:strCache>
            </c:strRef>
          </c:tx>
          <c:spPr>
            <a:ln w="28575" cap="rnd">
              <a:solidFill>
                <a:schemeClr val="accent2"/>
              </a:solidFill>
              <a:round/>
            </a:ln>
            <a:effectLst/>
          </c:spPr>
          <c:marker>
            <c:symbol val="diamond"/>
            <c:size val="5"/>
            <c:spPr>
              <a:solidFill>
                <a:schemeClr val="accent2"/>
              </a:solidFill>
              <a:ln w="9525">
                <a:solidFill>
                  <a:schemeClr val="accent2"/>
                </a:solidFill>
              </a:ln>
              <a:effectLst/>
            </c:spPr>
          </c:marker>
          <c:dLbls>
            <c:dLbl>
              <c:idx val="8"/>
              <c:layout>
                <c:manualLayout>
                  <c:x val="0.00429767021035965"/>
                  <c:y val="0.127336933942667"/>
                </c:manualLayout>
              </c:layout>
              <c:dLblPos val="t"/>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0.00827082931330861"/>
                  <c:y val="0.0960646752006025"/>
                </c:manualLayout>
              </c:layout>
              <c:dLblPos val="t"/>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0.00701198823795521"/>
                  <c:y val="0.0830909846281678"/>
                </c:manualLayout>
              </c:layout>
              <c:dLblPos val="t"/>
              <c:showLegendKey val="0"/>
              <c:showVal val="1"/>
              <c:showCatName val="0"/>
              <c:showSerName val="0"/>
              <c:showPercent val="0"/>
              <c:showBubbleSize val="0"/>
              <c:extLst>
                <c:ext xmlns:c15="http://schemas.microsoft.com/office/drawing/2012/chart" uri="{CE6537A1-D6FC-4f65-9D91-7224C49458BB}">
                  <c15:layout/>
                </c:ext>
              </c:extLst>
            </c:dLbl>
            <c:dLbl>
              <c:idx val="11"/>
              <c:layout>
                <c:manualLayout>
                  <c:x val="0.0126668174621126"/>
                  <c:y val="0.0778977980889074"/>
                </c:manualLayout>
              </c:layout>
              <c:dLblPos val="t"/>
              <c:showLegendKey val="0"/>
              <c:showVal val="1"/>
              <c:showCatName val="0"/>
              <c:showSerName val="0"/>
              <c:showPercent val="0"/>
              <c:showBubbleSize val="0"/>
              <c:extLst>
                <c:ext xmlns:c15="http://schemas.microsoft.com/office/drawing/2012/chart" uri="{CE6537A1-D6FC-4f65-9D91-7224C49458BB}">
                  <c15:layout/>
                </c:ext>
              </c:extLst>
            </c:dLbl>
            <c:dLbl>
              <c:idx val="12"/>
              <c:layout>
                <c:manualLayout>
                  <c:x val="0.00529754547059862"/>
                  <c:y val="0.0841009211053264"/>
                </c:manualLayout>
              </c:layout>
              <c:dLblPos val="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[Word里画图的数据.xlsx]Sheet1!$V$1:$AH$1</c:f>
              <c:strCache>
                <c:ptCount val="13"/>
                <c:pt idx="0" c:formatCode="yyyy&quot;年&quot;m&quot;月&quot;">
                  <c:v>2025年8月</c:v>
                </c:pt>
                <c:pt idx="1">
                  <c:v>9月</c:v>
                </c:pt>
                <c:pt idx="2">
                  <c:v>10月</c:v>
                </c:pt>
                <c:pt idx="3">
                  <c:v>11月</c:v>
                </c:pt>
                <c:pt idx="4">
                  <c:v>12月</c:v>
                </c:pt>
                <c:pt idx="5" c:formatCode="yyyy&quot;年&quot;m&quot;月&quot;">
                  <c:v>2026年1月</c:v>
                </c:pt>
                <c:pt idx="6">
                  <c:v>2月</c:v>
                </c:pt>
                <c:pt idx="7">
                  <c:v>3月</c:v>
                </c:pt>
                <c:pt idx="8">
                  <c:v>4月</c:v>
                </c:pt>
                <c:pt idx="9">
                  <c:v>5月</c:v>
                </c:pt>
                <c:pt idx="10">
                  <c:v>6月</c:v>
                </c:pt>
                <c:pt idx="11">
                  <c:v>7月</c:v>
                </c:pt>
                <c:pt idx="12">
                  <c:v>8月</c:v>
                </c:pt>
              </c:strCache>
            </c:strRef>
          </c:cat>
          <c:val>
            <c:numRef>
              <c:f>[Word里画图的数据.xlsx]Sheet1!$V$3:$AH$3</c:f>
              <c:numCache>
                <c:formatCode>0.0_ </c:formatCode>
                <c:ptCount val="13"/>
                <c:pt idx="0">
                  <c:v>0.158500000000004</c:v>
                </c:pt>
                <c:pt idx="1">
                  <c:v>-0.3</c:v>
                </c:pt>
                <c:pt idx="2">
                  <c:v>0.1</c:v>
                </c:pt>
                <c:pt idx="3">
                  <c:v>0</c:v>
                </c:pt>
                <c:pt idx="4">
                  <c:v>0.3</c:v>
                </c:pt>
                <c:pt idx="5">
                  <c:v>-0.2</c:v>
                </c:pt>
                <c:pt idx="6">
                  <c:v>0.5</c:v>
                </c:pt>
                <c:pt idx="7">
                  <c:v>0.5</c:v>
                </c:pt>
                <c:pt idx="8">
                  <c:v>1.61531400054962</c:v>
                </c:pt>
                <c:pt idx="9">
                  <c:v>0.0869872420535387</c:v>
                </c:pt>
                <c:pt idx="10">
                  <c:v>-0.650985304915011</c:v>
                </c:pt>
                <c:pt idx="11">
                  <c:v>-0.369998429574068</c:v>
                </c:pt>
                <c:pt idx="12">
                  <c:v>0.3357367236339</c:v>
                </c:pt>
              </c:numCache>
            </c:numRef>
          </c:val>
          <c:smooth val="0"/>
        </c:ser>
        <c:dLbls>
          <c:showLegendKey val="0"/>
          <c:showVal val="1"/>
          <c:showCatName val="0"/>
          <c:showSerName val="0"/>
          <c:showPercent val="0"/>
          <c:showBubbleSize val="0"/>
        </c:dLbls>
        <c:marker val="1"/>
        <c:smooth val="0"/>
        <c:axId val="611993159"/>
        <c:axId val="539249299"/>
      </c:lineChart>
      <c:catAx>
        <c:axId val="611993159"/>
        <c:scaling>
          <c:orientation val="minMax"/>
        </c:scaling>
        <c:delete val="0"/>
        <c:axPos val="b"/>
        <c:numFmt formatCode="General" sourceLinked="0"/>
        <c:majorTickMark val="in"/>
        <c:minorTickMark val="none"/>
        <c:tickLblPos val="low"/>
        <c:spPr>
          <a:noFill/>
          <a:ln w="9525" cap="flat" cmpd="sng" algn="ctr">
            <a:solidFill>
              <a:schemeClr val="bg1">
                <a:lumMod val="85000"/>
              </a:schemeClr>
            </a:solidFill>
            <a:round/>
          </a:ln>
          <a:effectLst/>
        </c:spPr>
        <c:txPr>
          <a:bodyPr rot="-60000000" spcFirstLastPara="0" vertOverflow="ellipsis" vert="horz" wrap="square" anchor="ctr" anchorCtr="1"/>
          <a:lstStyle/>
          <a:p>
            <a:pPr>
              <a:defRPr lang="zh-CN" sz="9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crossAx val="539249299"/>
        <c:crosses val="autoZero"/>
        <c:auto val="1"/>
        <c:lblAlgn val="ctr"/>
        <c:lblOffset val="100"/>
        <c:noMultiLvlLbl val="0"/>
      </c:catAx>
      <c:valAx>
        <c:axId val="539249299"/>
        <c:scaling>
          <c:orientation val="minMax"/>
          <c:max val="4"/>
        </c:scaling>
        <c:delete val="0"/>
        <c:axPos val="l"/>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lang="zh-CN" altLang="en-US" b="1"/>
                  <a:t>（</a:t>
                </a:r>
                <a:r>
                  <a:rPr lang="en-US" altLang="zh-CN" b="1"/>
                  <a:t>%</a:t>
                </a:r>
                <a:r>
                  <a:rPr lang="zh-CN" altLang="en-US" b="1"/>
                  <a:t>）</a:t>
                </a:r>
                <a:endParaRPr lang="zh-CN" altLang="en-US" b="1"/>
              </a:p>
            </c:rich>
          </c:tx>
          <c:layout>
            <c:manualLayout>
              <c:xMode val="edge"/>
              <c:yMode val="edge"/>
              <c:x val="0.0387010413551337"/>
              <c:y val="0.0518472815482782"/>
            </c:manualLayout>
          </c:layout>
          <c:overlay val="0"/>
          <c:spPr>
            <a:noFill/>
            <a:ln>
              <a:noFill/>
            </a:ln>
            <a:effectLst/>
          </c:spPr>
        </c:title>
        <c:numFmt formatCode="0.0_ " sourceLinked="1"/>
        <c:majorTickMark val="in"/>
        <c:minorTickMark val="none"/>
        <c:tickLblPos val="nextTo"/>
        <c:spPr>
          <a:noFill/>
          <a:ln>
            <a:solidFill>
              <a:schemeClr val="bg1">
                <a:lumMod val="85000"/>
              </a:schemeClr>
            </a:solidFill>
          </a:ln>
          <a:effectLst/>
        </c:spPr>
        <c:txPr>
          <a:bodyPr rot="-60000000" spcFirstLastPara="0" vertOverflow="ellipsis" vert="horz" wrap="square" anchor="ctr" anchorCtr="1"/>
          <a:lstStyle/>
          <a:p>
            <a:pPr>
              <a:defRPr lang="zh-CN" sz="9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crossAx val="611993159"/>
        <c:crosses val="autoZero"/>
        <c:crossBetween val="between"/>
      </c:valAx>
      <c:spPr>
        <a:noFill/>
        <a:ln>
          <a:solidFill>
            <a:schemeClr val="bg1">
              <a:lumMod val="85000"/>
            </a:schemeClr>
          </a:solidFill>
        </a:ln>
        <a:effectLst/>
      </c:spPr>
    </c:plotArea>
    <c:legend>
      <c:legendPos val="b"/>
      <c:layout>
        <c:manualLayout>
          <c:xMode val="edge"/>
          <c:yMode val="edge"/>
          <c:x val="0.758892977787326"/>
          <c:y val="0.0694777067418828"/>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no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915591676149083"/>
          <c:y val="0.133565734623729"/>
          <c:w val="0.865241581259151"/>
          <c:h val="0.592819039803037"/>
        </c:manualLayout>
      </c:layout>
      <c:lineChart>
        <c:grouping val="standard"/>
        <c:varyColors val="0"/>
        <c:ser>
          <c:idx val="0"/>
          <c:order val="0"/>
          <c:tx>
            <c:strRef>
              <c:f>[Word里画图的数据.xlsx]Sheet1!$B$11</c:f>
              <c:strCache>
                <c:ptCount val="1"/>
                <c:pt idx="0">
                  <c:v>同比</c:v>
                </c:pt>
              </c:strCache>
            </c:strRef>
          </c:tx>
          <c:spPr>
            <a:ln w="28575" cap="rnd">
              <a:solidFill>
                <a:schemeClr val="accent1"/>
              </a:solidFill>
              <a:round/>
            </a:ln>
            <a:effectLst/>
          </c:spPr>
          <c:marker>
            <c:symbol val="square"/>
            <c:size val="5"/>
            <c:spPr>
              <a:solidFill>
                <a:schemeClr val="accent1"/>
              </a:solidFill>
              <a:ln w="9525">
                <a:solidFill>
                  <a:schemeClr val="accent1"/>
                </a:solidFill>
              </a:ln>
              <a:effectLst/>
            </c:spPr>
          </c:marker>
          <c:dLbls>
            <c:dLbl>
              <c:idx val="7"/>
              <c:layout>
                <c:manualLayout>
                  <c:x val="-0.0141434713736139"/>
                  <c:y val="-0.0809589310277068"/>
                </c:manualLayout>
              </c:layout>
              <c:dLblPos val="b"/>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0.0211586331749265"/>
                  <c:y val="-0.0442130084495972"/>
                </c:manualLayout>
              </c:layout>
              <c:dLblPos val="b"/>
              <c:showLegendKey val="0"/>
              <c:showVal val="1"/>
              <c:showCatName val="0"/>
              <c:showSerName val="0"/>
              <c:showPercent val="0"/>
              <c:showBubbleSize val="0"/>
              <c:extLst>
                <c:ext xmlns:c15="http://schemas.microsoft.com/office/drawing/2012/chart" uri="{CE6537A1-D6FC-4f65-9D91-7224C49458BB}">
                  <c15:layout/>
                </c:ext>
              </c:extLst>
            </c:dLbl>
            <c:dLbl>
              <c:idx val="11"/>
              <c:layout>
                <c:manualLayout>
                  <c:x val="-0.00848608282416836"/>
                  <c:y val="-0.0147376694831991"/>
                </c:manualLayout>
              </c:layout>
              <c:dLblPos val="b"/>
              <c:showLegendKey val="0"/>
              <c:showVal val="1"/>
              <c:showCatName val="0"/>
              <c:showSerName val="0"/>
              <c:showPercent val="0"/>
              <c:showBubbleSize val="0"/>
              <c:extLst>
                <c:ext xmlns:c15="http://schemas.microsoft.com/office/drawing/2012/chart" uri="{CE6537A1-D6FC-4f65-9D91-7224C49458BB}">
                  <c15:layout/>
                </c:ext>
              </c:extLst>
            </c:dLbl>
            <c:dLbl>
              <c:idx val="12"/>
              <c:layout>
                <c:manualLayout>
                  <c:x val="-0.00147092102285585"/>
                  <c:y val="-0.0123796423658872"/>
                </c:manualLayout>
              </c:layout>
              <c:dLblPos val="b"/>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[Word里画图的数据.xlsx]Sheet1!$V$10:$AH$10</c:f>
              <c:strCache>
                <c:ptCount val="13"/>
                <c:pt idx="0" c:formatCode="yyyy&quot;年&quot;m&quot;月&quot;">
                  <c:v>2025年8月</c:v>
                </c:pt>
                <c:pt idx="1">
                  <c:v>9月</c:v>
                </c:pt>
                <c:pt idx="2">
                  <c:v>10月</c:v>
                </c:pt>
                <c:pt idx="3">
                  <c:v>11月</c:v>
                </c:pt>
                <c:pt idx="4">
                  <c:v>12月</c:v>
                </c:pt>
                <c:pt idx="5" c:formatCode="yyyy&quot;年&quot;m&quot;月&quot;">
                  <c:v>2026年1月</c:v>
                </c:pt>
                <c:pt idx="6">
                  <c:v>2月</c:v>
                </c:pt>
                <c:pt idx="7">
                  <c:v>3月</c:v>
                </c:pt>
                <c:pt idx="8">
                  <c:v>4月</c:v>
                </c:pt>
                <c:pt idx="9">
                  <c:v>5月</c:v>
                </c:pt>
                <c:pt idx="10">
                  <c:v>6月</c:v>
                </c:pt>
                <c:pt idx="11">
                  <c:v>7月</c:v>
                </c:pt>
                <c:pt idx="12">
                  <c:v>8月</c:v>
                </c:pt>
              </c:strCache>
            </c:strRef>
          </c:cat>
          <c:val>
            <c:numRef>
              <c:f>[Word里画图的数据.xlsx]Sheet1!$V$11:$AH$11</c:f>
              <c:numCache>
                <c:formatCode>0.0_ </c:formatCode>
                <c:ptCount val="13"/>
                <c:pt idx="0">
                  <c:v>-1.2396</c:v>
                </c:pt>
                <c:pt idx="1">
                  <c:v>-0.6</c:v>
                </c:pt>
                <c:pt idx="2">
                  <c:v>0</c:v>
                </c:pt>
                <c:pt idx="3">
                  <c:v>-0.5</c:v>
                </c:pt>
                <c:pt idx="4">
                  <c:v>0.2</c:v>
                </c:pt>
                <c:pt idx="5">
                  <c:v>-0.2</c:v>
                </c:pt>
                <c:pt idx="6">
                  <c:v>-0.1</c:v>
                </c:pt>
                <c:pt idx="7">
                  <c:v>1.6</c:v>
                </c:pt>
                <c:pt idx="8">
                  <c:v>4.95390310050372</c:v>
                </c:pt>
                <c:pt idx="9">
                  <c:v>5.96320420644635</c:v>
                </c:pt>
                <c:pt idx="10">
                  <c:v>5.26617659997228</c:v>
                </c:pt>
                <c:pt idx="11">
                  <c:v>2.60920477546135</c:v>
                </c:pt>
                <c:pt idx="12">
                  <c:v>2.61534470366966</c:v>
                </c:pt>
              </c:numCache>
            </c:numRef>
          </c:val>
          <c:smooth val="0"/>
        </c:ser>
        <c:ser>
          <c:idx val="1"/>
          <c:order val="1"/>
          <c:tx>
            <c:strRef>
              <c:f>[Word里画图的数据.xlsx]Sheet1!$B$12</c:f>
              <c:strCache>
                <c:ptCount val="1"/>
                <c:pt idx="0">
                  <c:v>环比</c:v>
                </c:pt>
              </c:strCache>
            </c:strRef>
          </c:tx>
          <c:spPr>
            <a:ln w="28575" cap="rnd">
              <a:solidFill>
                <a:schemeClr val="accent2"/>
              </a:solidFill>
              <a:round/>
            </a:ln>
            <a:effectLst/>
          </c:spPr>
          <c:marker>
            <c:symbol val="triangle"/>
            <c:size val="5"/>
            <c:spPr>
              <a:solidFill>
                <a:schemeClr val="accent2"/>
              </a:solidFill>
              <a:ln w="9525">
                <a:solidFill>
                  <a:schemeClr val="accent2"/>
                </a:solidFill>
              </a:ln>
              <a:effectLst/>
            </c:spPr>
          </c:marker>
          <c:dLbls>
            <c:dLbl>
              <c:idx val="7"/>
              <c:layout>
                <c:manualLayout>
                  <c:x val="0.0183299389002037"/>
                  <c:y val="0.0956966005109059"/>
                </c:manualLayout>
              </c:layout>
              <c:dLblPos val="t"/>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0.0269291694953609"/>
                  <c:y val="0.0514835920613087"/>
                </c:manualLayout>
              </c:layout>
              <c:dLblPos val="t"/>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0.0292190543651496"/>
                  <c:y val="0.0399011970359111"/>
                </c:manualLayout>
              </c:layout>
              <c:dLblPos val="t"/>
              <c:showLegendKey val="0"/>
              <c:showVal val="1"/>
              <c:showCatName val="0"/>
              <c:showSerName val="0"/>
              <c:showPercent val="0"/>
              <c:showBubbleSize val="0"/>
              <c:extLst>
                <c:ext xmlns:c15="http://schemas.microsoft.com/office/drawing/2012/chart" uri="{CE6537A1-D6FC-4f65-9D91-7224C49458BB}">
                  <c15:layout/>
                </c:ext>
              </c:extLst>
            </c:dLbl>
            <c:dLbl>
              <c:idx val="12"/>
              <c:layout>
                <c:manualLayout>
                  <c:x val="-0.0301299352538348"/>
                  <c:y val="0.0672116049619268"/>
                </c:manualLayout>
              </c:layout>
              <c:dLblPos val="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[Word里画图的数据.xlsx]Sheet1!$V$10:$AH$10</c:f>
              <c:strCache>
                <c:ptCount val="13"/>
                <c:pt idx="0" c:formatCode="yyyy&quot;年&quot;m&quot;月&quot;">
                  <c:v>2025年8月</c:v>
                </c:pt>
                <c:pt idx="1">
                  <c:v>9月</c:v>
                </c:pt>
                <c:pt idx="2">
                  <c:v>10月</c:v>
                </c:pt>
                <c:pt idx="3">
                  <c:v>11月</c:v>
                </c:pt>
                <c:pt idx="4">
                  <c:v>12月</c:v>
                </c:pt>
                <c:pt idx="5" c:formatCode="yyyy&quot;年&quot;m&quot;月&quot;">
                  <c:v>2026年1月</c:v>
                </c:pt>
                <c:pt idx="6">
                  <c:v>2月</c:v>
                </c:pt>
                <c:pt idx="7">
                  <c:v>3月</c:v>
                </c:pt>
                <c:pt idx="8">
                  <c:v>4月</c:v>
                </c:pt>
                <c:pt idx="9">
                  <c:v>5月</c:v>
                </c:pt>
                <c:pt idx="10">
                  <c:v>6月</c:v>
                </c:pt>
                <c:pt idx="11">
                  <c:v>7月</c:v>
                </c:pt>
                <c:pt idx="12">
                  <c:v>8月</c:v>
                </c:pt>
              </c:strCache>
            </c:strRef>
          </c:cat>
          <c:val>
            <c:numRef>
              <c:f>[Word里画图的数据.xlsx]Sheet1!$V$12:$AH$12</c:f>
              <c:numCache>
                <c:formatCode>0.0_ </c:formatCode>
                <c:ptCount val="13"/>
                <c:pt idx="0">
                  <c:v>0.454700000000003</c:v>
                </c:pt>
                <c:pt idx="1">
                  <c:v>0.1</c:v>
                </c:pt>
                <c:pt idx="2">
                  <c:v>0.4</c:v>
                </c:pt>
                <c:pt idx="3">
                  <c:v>-0.4</c:v>
                </c:pt>
                <c:pt idx="4">
                  <c:v>0.5</c:v>
                </c:pt>
                <c:pt idx="5">
                  <c:v>0.2</c:v>
                </c:pt>
                <c:pt idx="6">
                  <c:v>0.7</c:v>
                </c:pt>
                <c:pt idx="7">
                  <c:v>1.1</c:v>
                </c:pt>
                <c:pt idx="8">
                  <c:v>3.52450377500882</c:v>
                </c:pt>
                <c:pt idx="9">
                  <c:v>0.452369450052174</c:v>
                </c:pt>
                <c:pt idx="10">
                  <c:v>-1.12477155178981</c:v>
                </c:pt>
                <c:pt idx="11">
                  <c:v>-2.64737595662902</c:v>
                </c:pt>
                <c:pt idx="12">
                  <c:v>0.742436329373376</c:v>
                </c:pt>
              </c:numCache>
            </c:numRef>
          </c:val>
          <c:smooth val="0"/>
        </c:ser>
        <c:dLbls>
          <c:showLegendKey val="0"/>
          <c:showVal val="1"/>
          <c:showCatName val="0"/>
          <c:showSerName val="0"/>
          <c:showPercent val="0"/>
          <c:showBubbleSize val="0"/>
        </c:dLbls>
        <c:marker val="1"/>
        <c:smooth val="0"/>
        <c:axId val="934542494"/>
        <c:axId val="115833847"/>
      </c:lineChart>
      <c:catAx>
        <c:axId val="934542494"/>
        <c:scaling>
          <c:orientation val="minMax"/>
        </c:scaling>
        <c:delete val="0"/>
        <c:axPos val="b"/>
        <c:numFmt formatCode="General" sourceLinked="0"/>
        <c:majorTickMark val="in"/>
        <c:minorTickMark val="none"/>
        <c:tickLblPos val="low"/>
        <c:spPr>
          <a:noFill/>
          <a:ln w="9525" cap="flat" cmpd="sng" algn="ctr">
            <a:solidFill>
              <a:schemeClr val="bg1">
                <a:lumMod val="85000"/>
              </a:schemeClr>
            </a:solidFill>
            <a:round/>
          </a:ln>
          <a:effectLst/>
        </c:spPr>
        <c:txPr>
          <a:bodyPr rot="-60000000" spcFirstLastPara="0" vertOverflow="ellipsis" vert="horz" wrap="square" anchor="ctr" anchorCtr="1"/>
          <a:lstStyle/>
          <a:p>
            <a:pPr>
              <a:defRPr lang="zh-CN" sz="9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crossAx val="115833847"/>
        <c:crosses val="autoZero"/>
        <c:auto val="1"/>
        <c:lblAlgn val="ctr"/>
        <c:lblOffset val="100"/>
        <c:noMultiLvlLbl val="0"/>
      </c:catAx>
      <c:valAx>
        <c:axId val="115833847"/>
        <c:scaling>
          <c:orientation val="minMax"/>
          <c:max val="6"/>
          <c:min val="-4"/>
        </c:scaling>
        <c:delete val="0"/>
        <c:axPos val="l"/>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lang="zh-CN" altLang="en-US" b="1"/>
                  <a:t>（</a:t>
                </a:r>
                <a:r>
                  <a:rPr lang="en-US" altLang="zh-CN" b="1"/>
                  <a:t>%</a:t>
                </a:r>
                <a:r>
                  <a:rPr lang="zh-CN" altLang="en-US" b="1"/>
                  <a:t>）</a:t>
                </a:r>
                <a:endParaRPr lang="zh-CN" altLang="en-US" b="1"/>
              </a:p>
            </c:rich>
          </c:tx>
          <c:layout>
            <c:manualLayout>
              <c:xMode val="edge"/>
              <c:yMode val="edge"/>
              <c:x val="0.0388888888888889"/>
              <c:y val="0.035462962962963"/>
            </c:manualLayout>
          </c:layout>
          <c:overlay val="0"/>
          <c:spPr>
            <a:noFill/>
            <a:ln>
              <a:noFill/>
            </a:ln>
            <a:effectLst/>
          </c:spPr>
        </c:title>
        <c:numFmt formatCode="0.0_ " sourceLinked="1"/>
        <c:majorTickMark val="in"/>
        <c:minorTickMark val="none"/>
        <c:tickLblPos val="low"/>
        <c:spPr>
          <a:noFill/>
          <a:ln>
            <a:solidFill>
              <a:schemeClr val="bg1">
                <a:lumMod val="85000"/>
              </a:schemeClr>
            </a:solidFill>
          </a:ln>
          <a:effectLst/>
        </c:spPr>
        <c:txPr>
          <a:bodyPr rot="-60000000" spcFirstLastPara="0" vertOverflow="ellipsis" vert="horz" wrap="square" anchor="ctr" anchorCtr="1"/>
          <a:lstStyle/>
          <a:p>
            <a:pPr>
              <a:defRPr lang="zh-CN" sz="9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crossAx val="934542494"/>
        <c:crosses val="autoZero"/>
        <c:crossBetween val="between"/>
      </c:valAx>
      <c:spPr>
        <a:noFill/>
        <a:ln>
          <a:solidFill>
            <a:schemeClr val="bg1">
              <a:lumMod val="85000"/>
            </a:schemeClr>
          </a:solidFill>
        </a:ln>
        <a:effectLst/>
      </c:spPr>
    </c:plotArea>
    <c:legend>
      <c:legendPos val="b"/>
      <c:layout>
        <c:manualLayout>
          <c:xMode val="edge"/>
          <c:yMode val="edge"/>
          <c:x val="0.743720298710115"/>
          <c:y val="0.0699548044802515"/>
          <c:w val="0.214980764878932"/>
          <c:h val="0.063273727647868"/>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no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20886615515772"/>
          <c:y val="0.0959456590957334"/>
          <c:w val="0.903614663256607"/>
          <c:h val="0.665124177457015"/>
        </c:manualLayout>
      </c:layout>
      <c:lineChart>
        <c:grouping val="standard"/>
        <c:varyColors val="0"/>
        <c:ser>
          <c:idx val="0"/>
          <c:order val="0"/>
          <c:tx>
            <c:strRef>
              <c:f>[Word里画图的数据.xlsx]Sheet1!$B$5</c:f>
              <c:strCache>
                <c:ptCount val="1"/>
                <c:pt idx="0">
                  <c:v>同比</c:v>
                </c:pt>
              </c:strCache>
            </c:strRef>
          </c:tx>
          <c:spPr>
            <a:ln w="28575" cap="rnd">
              <a:solidFill>
                <a:schemeClr val="accent1"/>
              </a:solidFill>
              <a:round/>
            </a:ln>
            <a:effectLst/>
          </c:spPr>
          <c:marker>
            <c:symbol val="triangle"/>
            <c:size val="5"/>
            <c:spPr>
              <a:solidFill>
                <a:schemeClr val="accent1"/>
              </a:solidFill>
              <a:ln w="9525">
                <a:solidFill>
                  <a:schemeClr val="accent1"/>
                </a:solidFill>
              </a:ln>
              <a:effectLst/>
            </c:spPr>
          </c:marker>
          <c:dLbls>
            <c:spPr>
              <a:noFill/>
              <a:ln>
                <a:noFill/>
              </a:ln>
              <a:effectLst/>
            </c:spPr>
            <c:txPr>
              <a:bodyPr rot="0" spcFirstLastPara="0" vertOverflow="ellipsis" vert="horz" wrap="square" lIns="38100" tIns="19050" rIns="38100" bIns="19050" anchor="ctr" anchorCtr="1"/>
              <a:lstStyle/>
              <a:p>
                <a:pPr>
                  <a:defRPr lang="zh-CN" sz="900" b="0" i="0" u="none" strike="noStrike" kern="1200" cap="none" spc="0" normalizeH="0" baseline="0">
                    <a:solidFill>
                      <a:schemeClr val="tx1">
                        <a:lumMod val="75000"/>
                        <a:lumOff val="25000"/>
                      </a:schemeClr>
                    </a:solidFill>
                    <a:uFill>
                      <a:solidFill>
                        <a:schemeClr val="tx1">
                          <a:lumMod val="75000"/>
                          <a:lumOff val="25000"/>
                        </a:schemeClr>
                      </a:solidFill>
                    </a:uFill>
                    <a:latin typeface="+mn-lt"/>
                    <a:ea typeface="+mn-ea"/>
                    <a:cs typeface="+mn-cs"/>
                  </a:defRPr>
                </a:pPr>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[Word里画图的数据.xlsx]Sheet1!$V$4:$AH$4</c:f>
              <c:strCache>
                <c:ptCount val="13"/>
                <c:pt idx="0" c:formatCode="yyyy&quot;年&quot;m&quot;月&quot;">
                  <c:v>2025年8月</c:v>
                </c:pt>
                <c:pt idx="1">
                  <c:v>9月</c:v>
                </c:pt>
                <c:pt idx="2">
                  <c:v>10月</c:v>
                </c:pt>
                <c:pt idx="3">
                  <c:v>11月</c:v>
                </c:pt>
                <c:pt idx="4">
                  <c:v>12月</c:v>
                </c:pt>
                <c:pt idx="5" c:formatCode="yyyy&quot;年&quot;m&quot;月&quot;">
                  <c:v>2026年1月</c:v>
                </c:pt>
                <c:pt idx="6">
                  <c:v>2月</c:v>
                </c:pt>
                <c:pt idx="7">
                  <c:v>3月</c:v>
                </c:pt>
                <c:pt idx="8">
                  <c:v>4月</c:v>
                </c:pt>
                <c:pt idx="9">
                  <c:v>5月</c:v>
                </c:pt>
                <c:pt idx="10">
                  <c:v>6月</c:v>
                </c:pt>
                <c:pt idx="11">
                  <c:v>7月</c:v>
                </c:pt>
                <c:pt idx="12">
                  <c:v>8月</c:v>
                </c:pt>
              </c:strCache>
            </c:strRef>
          </c:cat>
          <c:val>
            <c:numRef>
              <c:f>[Word里画图的数据.xlsx]Sheet1!$V$5:$AH$5</c:f>
              <c:numCache>
                <c:formatCode>0.0_ </c:formatCode>
                <c:ptCount val="13"/>
                <c:pt idx="0">
                  <c:v>-2.4923</c:v>
                </c:pt>
                <c:pt idx="1">
                  <c:v>-2.2</c:v>
                </c:pt>
                <c:pt idx="2">
                  <c:v>-1.8</c:v>
                </c:pt>
                <c:pt idx="3">
                  <c:v>-2.2</c:v>
                </c:pt>
                <c:pt idx="4">
                  <c:v>-1.8</c:v>
                </c:pt>
                <c:pt idx="5">
                  <c:v>-2.7</c:v>
                </c:pt>
                <c:pt idx="6">
                  <c:v>-1.8</c:v>
                </c:pt>
                <c:pt idx="7">
                  <c:v>-0.7</c:v>
                </c:pt>
                <c:pt idx="8">
                  <c:v>2.1553751978261</c:v>
                </c:pt>
                <c:pt idx="9">
                  <c:v>2.7850202942398</c:v>
                </c:pt>
                <c:pt idx="10">
                  <c:v>2.55427103338744</c:v>
                </c:pt>
                <c:pt idx="11">
                  <c:v>1.88105104044959</c:v>
                </c:pt>
                <c:pt idx="12">
                  <c:v>2.01705011838332</c:v>
                </c:pt>
              </c:numCache>
            </c:numRef>
          </c:val>
          <c:smooth val="0"/>
        </c:ser>
        <c:ser>
          <c:idx val="1"/>
          <c:order val="1"/>
          <c:tx>
            <c:strRef>
              <c:f>[Word里画图的数据.xlsx]Sheet1!$B$6</c:f>
              <c:strCache>
                <c:ptCount val="1"/>
                <c:pt idx="0">
                  <c:v>环比</c:v>
                </c:pt>
              </c:strCache>
            </c:strRef>
          </c:tx>
          <c:spPr>
            <a:ln w="28575" cap="rnd">
              <a:solidFill>
                <a:schemeClr val="accent2"/>
              </a:solidFill>
              <a:round/>
            </a:ln>
            <a:effectLst/>
          </c:spPr>
          <c:marker>
            <c:symbol val="diamond"/>
            <c:size val="5"/>
            <c:spPr>
              <a:solidFill>
                <a:schemeClr val="accent2"/>
              </a:solidFill>
              <a:ln w="9525">
                <a:solidFill>
                  <a:schemeClr val="accent2"/>
                </a:solidFill>
              </a:ln>
              <a:effectLst/>
            </c:spPr>
          </c:marker>
          <c:dLbls>
            <c:dLbl>
              <c:idx val="9"/>
              <c:layout>
                <c:manualLayout>
                  <c:x val="0.0151032759374342"/>
                  <c:y val="0.0280992920349715"/>
                </c:manualLayout>
              </c:layout>
              <c:dLblPos val="t"/>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0.0169760072430964"/>
                  <c:y val="0.118832522585129"/>
                </c:manualLayout>
              </c:layout>
              <c:dLblPos val="t"/>
              <c:showLegendKey val="0"/>
              <c:showVal val="1"/>
              <c:showCatName val="0"/>
              <c:showSerName val="0"/>
              <c:showPercent val="0"/>
              <c:showBubbleSize val="0"/>
              <c:extLst>
                <c:ext xmlns:c15="http://schemas.microsoft.com/office/drawing/2012/chart" uri="{CE6537A1-D6FC-4f65-9D91-7224C49458BB}">
                  <c15:layout/>
                </c:ext>
              </c:extLst>
            </c:dLbl>
            <c:dLbl>
              <c:idx val="11"/>
              <c:layout>
                <c:manualLayout>
                  <c:x val="0.0141466727025804"/>
                  <c:y val="0.0956682881630762"/>
                </c:manualLayout>
              </c:layout>
              <c:dLblPos val="t"/>
              <c:showLegendKey val="0"/>
              <c:showVal val="1"/>
              <c:showCatName val="0"/>
              <c:showSerName val="0"/>
              <c:showPercent val="0"/>
              <c:showBubbleSize val="0"/>
              <c:extLst>
                <c:ext xmlns:c15="http://schemas.microsoft.com/office/drawing/2012/chart" uri="{CE6537A1-D6FC-4f65-9D91-7224C49458BB}">
                  <c15:layout/>
                </c:ext>
              </c:extLst>
            </c:dLbl>
            <c:dLbl>
              <c:idx val="12"/>
              <c:layout>
                <c:manualLayout>
                  <c:x val="0.0087967940572769"/>
                  <c:y val="0.0810648518815052"/>
                </c:manualLayout>
              </c:layout>
              <c:dLblPos val="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cap="none" spc="0" normalizeH="0" baseline="0">
                    <a:solidFill>
                      <a:schemeClr val="tx1">
                        <a:lumMod val="75000"/>
                        <a:lumOff val="25000"/>
                      </a:schemeClr>
                    </a:solidFill>
                    <a:uFill>
                      <a:solidFill>
                        <a:schemeClr val="tx1">
                          <a:lumMod val="75000"/>
                          <a:lumOff val="25000"/>
                        </a:schemeClr>
                      </a:solidFill>
                    </a:uFill>
                    <a:latin typeface="+mn-lt"/>
                    <a:ea typeface="+mn-ea"/>
                    <a:cs typeface="+mn-cs"/>
                  </a:defRPr>
                </a:pPr>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[Word里画图的数据.xlsx]Sheet1!$V$4:$AH$4</c:f>
              <c:strCache>
                <c:ptCount val="13"/>
                <c:pt idx="0" c:formatCode="yyyy&quot;年&quot;m&quot;月&quot;">
                  <c:v>2025年8月</c:v>
                </c:pt>
                <c:pt idx="1">
                  <c:v>9月</c:v>
                </c:pt>
                <c:pt idx="2">
                  <c:v>10月</c:v>
                </c:pt>
                <c:pt idx="3">
                  <c:v>11月</c:v>
                </c:pt>
                <c:pt idx="4">
                  <c:v>12月</c:v>
                </c:pt>
                <c:pt idx="5" c:formatCode="yyyy&quot;年&quot;m&quot;月&quot;">
                  <c:v>2026年1月</c:v>
                </c:pt>
                <c:pt idx="6">
                  <c:v>2月</c:v>
                </c:pt>
                <c:pt idx="7">
                  <c:v>3月</c:v>
                </c:pt>
                <c:pt idx="8">
                  <c:v>4月</c:v>
                </c:pt>
                <c:pt idx="9">
                  <c:v>5月</c:v>
                </c:pt>
                <c:pt idx="10">
                  <c:v>6月</c:v>
                </c:pt>
                <c:pt idx="11">
                  <c:v>7月</c:v>
                </c:pt>
                <c:pt idx="12">
                  <c:v>8月</c:v>
                </c:pt>
              </c:strCache>
            </c:strRef>
          </c:cat>
          <c:val>
            <c:numRef>
              <c:f>[Word里画图的数据.xlsx]Sheet1!$V$6:$AH$6</c:f>
              <c:numCache>
                <c:formatCode>0.0_ </c:formatCode>
                <c:ptCount val="13"/>
                <c:pt idx="0">
                  <c:v>0.342600000000004</c:v>
                </c:pt>
                <c:pt idx="1">
                  <c:v>-0.3</c:v>
                </c:pt>
                <c:pt idx="2">
                  <c:v>-0.1</c:v>
                </c:pt>
                <c:pt idx="3">
                  <c:v>0</c:v>
                </c:pt>
                <c:pt idx="4">
                  <c:v>0.4</c:v>
                </c:pt>
                <c:pt idx="5">
                  <c:v>-0.3</c:v>
                </c:pt>
                <c:pt idx="6">
                  <c:v>0.3</c:v>
                </c:pt>
                <c:pt idx="7">
                  <c:v>0.9</c:v>
                </c:pt>
                <c:pt idx="8">
                  <c:v>2.39016773413364</c:v>
                </c:pt>
                <c:pt idx="9">
                  <c:v>0.0666469482077332</c:v>
                </c:pt>
                <c:pt idx="10">
                  <c:v>-0.846318590717303</c:v>
                </c:pt>
                <c:pt idx="11">
                  <c:v>-0.139310163686176</c:v>
                </c:pt>
                <c:pt idx="12">
                  <c:v>0.287409022986836</c:v>
                </c:pt>
              </c:numCache>
            </c:numRef>
          </c:val>
          <c:smooth val="0"/>
        </c:ser>
        <c:dLbls>
          <c:showLegendKey val="0"/>
          <c:showVal val="1"/>
          <c:showCatName val="0"/>
          <c:showSerName val="0"/>
          <c:showPercent val="0"/>
          <c:showBubbleSize val="0"/>
        </c:dLbls>
        <c:marker val="1"/>
        <c:smooth val="0"/>
        <c:axId val="26939360"/>
        <c:axId val="328441940"/>
      </c:lineChart>
      <c:catAx>
        <c:axId val="26939360"/>
        <c:scaling>
          <c:orientation val="minMax"/>
        </c:scaling>
        <c:delete val="0"/>
        <c:axPos val="b"/>
        <c:numFmt formatCode="General" sourceLinked="0"/>
        <c:majorTickMark val="in"/>
        <c:minorTickMark val="none"/>
        <c:tickLblPos val="low"/>
        <c:spPr>
          <a:noFill/>
          <a:ln w="12700" cap="flat" cmpd="sng" algn="ctr">
            <a:solidFill>
              <a:schemeClr val="bg1">
                <a:lumMod val="85000"/>
              </a:schemeClr>
            </a:solidFill>
            <a:round/>
          </a:ln>
          <a:effectLst/>
        </c:spPr>
        <c:txPr>
          <a:bodyPr rot="-60000000" spcFirstLastPara="0" vertOverflow="ellipsis" vert="horz" wrap="square" anchor="ctr" anchorCtr="1"/>
          <a:lstStyle/>
          <a:p>
            <a:pPr>
              <a:defRPr lang="zh-CN" sz="9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crossAx val="328441940"/>
        <c:crosses val="autoZero"/>
        <c:auto val="1"/>
        <c:lblAlgn val="ctr"/>
        <c:lblOffset val="100"/>
        <c:noMultiLvlLbl val="0"/>
      </c:catAx>
      <c:valAx>
        <c:axId val="328441940"/>
        <c:scaling>
          <c:orientation val="minMax"/>
          <c:max val="3"/>
          <c:min val="-6"/>
        </c:scaling>
        <c:delete val="0"/>
        <c:axPos val="l"/>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lang="zh-CN" altLang="en-US" sz="1000" b="1"/>
                  <a:t>（</a:t>
                </a:r>
                <a:r>
                  <a:rPr lang="en-US" altLang="zh-CN" sz="1000" b="1"/>
                  <a:t>%</a:t>
                </a:r>
                <a:r>
                  <a:rPr lang="zh-CN" altLang="en-US" sz="1000" b="1"/>
                  <a:t>）</a:t>
                </a:r>
                <a:endParaRPr lang="zh-CN" altLang="en-US" sz="1000" b="1"/>
              </a:p>
            </c:rich>
          </c:tx>
          <c:layout>
            <c:manualLayout>
              <c:xMode val="edge"/>
              <c:yMode val="edge"/>
              <c:x val="0.0199963331691763"/>
              <c:y val="0.00636807471874337"/>
            </c:manualLayout>
          </c:layout>
          <c:overlay val="0"/>
          <c:spPr>
            <a:noFill/>
            <a:ln>
              <a:noFill/>
            </a:ln>
            <a:effectLst/>
          </c:spPr>
        </c:title>
        <c:numFmt formatCode="0.0_ " sourceLinked="1"/>
        <c:majorTickMark val="in"/>
        <c:minorTickMark val="none"/>
        <c:tickLblPos val="low"/>
        <c:spPr>
          <a:noFill/>
          <a:ln w="12700">
            <a:solidFill>
              <a:schemeClr val="bg1">
                <a:lumMod val="85000"/>
              </a:schemeClr>
            </a:solidFill>
          </a:ln>
          <a:effectLst/>
        </c:spPr>
        <c:txPr>
          <a:bodyPr rot="-60000000" spcFirstLastPara="0" vertOverflow="ellipsis" vert="horz" wrap="square" anchor="ctr" anchorCtr="1"/>
          <a:lstStyle/>
          <a:p>
            <a:pPr>
              <a:defRPr lang="zh-CN" sz="9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crossAx val="26939360"/>
        <c:crosses val="autoZero"/>
        <c:crossBetween val="between"/>
      </c:valAx>
      <c:spPr>
        <a:noFill/>
        <a:ln>
          <a:solidFill>
            <a:schemeClr val="bg1">
              <a:lumMod val="85000"/>
            </a:schemeClr>
          </a:solidFill>
        </a:ln>
        <a:effectLst/>
      </c:spPr>
    </c:plotArea>
    <c:legend>
      <c:legendPos val="b"/>
      <c:legendEntry>
        <c:idx val="0"/>
        <c:txPr>
          <a:bodyPr rot="0" spcFirstLastPara="0" vertOverflow="ellipsis" vert="horz" wrap="square" anchor="ctr" anchorCtr="1"/>
          <a:lstStyle/>
          <a:p>
            <a:pPr>
              <a:defRPr lang="zh-CN" sz="9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Entry>
      <c:legendEntry>
        <c:idx val="1"/>
        <c:txPr>
          <a:bodyPr rot="0" spcFirstLastPara="0" vertOverflow="ellipsis" vert="horz" wrap="square" anchor="ctr" anchorCtr="1"/>
          <a:lstStyle/>
          <a:p>
            <a:pPr>
              <a:defRPr lang="zh-CN" sz="9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Entry>
      <c:layout>
        <c:manualLayout>
          <c:xMode val="edge"/>
          <c:yMode val="edge"/>
          <c:x val="0.787229899497194"/>
          <c:y val="0.010269384173675"/>
        </c:manualLayout>
      </c:layout>
      <c:overlay val="0"/>
      <c:spPr>
        <a:noFill/>
        <a:ln>
          <a:noFill/>
        </a:ln>
        <a:effectLst/>
      </c:spPr>
      <c:txPr>
        <a:bodyPr rot="0" spcFirstLastPara="0" vertOverflow="ellipsis" vert="horz" wrap="square" anchor="ctr" anchorCtr="1"/>
        <a:lstStyle/>
        <a:p>
          <a:pPr>
            <a:defRPr lang="zh-CN" sz="9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
    <c:plotVisOnly val="1"/>
    <c:dispBlanksAs val="gap"/>
    <c:showDLblsOverMax val="0"/>
  </c:chart>
  <c:spPr>
    <a:solidFill>
      <a:schemeClr val="bg1"/>
    </a:solidFill>
    <a:ln w="9525" cap="flat" cmpd="sng" algn="ctr">
      <a:noFill/>
      <a:round/>
    </a:ln>
    <a:effectLst/>
  </c:spPr>
  <c:txPr>
    <a:bodyPr/>
    <a:lstStyle/>
    <a:p>
      <a:pPr>
        <a:defRPr lang="zh-CN" sz="1000"/>
      </a:pPr>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54530130636325"/>
          <c:y val="0.10375"/>
          <c:w val="0.913055204382638"/>
          <c:h val="0.658833333333333"/>
        </c:manualLayout>
      </c:layout>
      <c:lineChart>
        <c:grouping val="standard"/>
        <c:varyColors val="0"/>
        <c:ser>
          <c:idx val="0"/>
          <c:order val="0"/>
          <c:tx>
            <c:strRef>
              <c:f>[Word里画图的数据.xlsx]Sheet1!$B$8</c:f>
              <c:strCache>
                <c:ptCount val="1"/>
                <c:pt idx="0">
                  <c:v>同比</c:v>
                </c:pt>
              </c:strCache>
            </c:strRef>
          </c:tx>
          <c:spPr>
            <a:ln w="28575" cap="rnd">
              <a:solidFill>
                <a:schemeClr val="accent1"/>
              </a:solidFill>
              <a:round/>
            </a:ln>
            <a:effectLst/>
          </c:spPr>
          <c:marker>
            <c:symbol val="diamond"/>
            <c:size val="5"/>
            <c:spPr>
              <a:solidFill>
                <a:schemeClr val="accent1"/>
              </a:solidFill>
              <a:ln w="9525">
                <a:solidFill>
                  <a:schemeClr val="accent1"/>
                </a:solidFill>
              </a:ln>
              <a:effectLst/>
            </c:spPr>
          </c:marker>
          <c:dLbls>
            <c:dLbl>
              <c:idx val="0"/>
              <c:layout>
                <c:manualLayout>
                  <c:x val="0.00565866908103214"/>
                  <c:y val="0.108558030480657"/>
                </c:manualLayout>
              </c:layout>
              <c:dLblPos val="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701674966047985"/>
                  <c:y val="0.117233294255569"/>
                </c:manualLayout>
              </c:layout>
              <c:dLblPos val="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0155047532820281"/>
                  <c:y val="0.041031652989449"/>
                </c:manualLayout>
              </c:layout>
              <c:dLblPos val="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[Word里画图的数据.xlsx]Sheet1!$V$7:$AH$7</c:f>
              <c:strCache>
                <c:ptCount val="13"/>
                <c:pt idx="0" c:formatCode="yyyy&quot;年&quot;m&quot;月&quot;">
                  <c:v>2025年8月</c:v>
                </c:pt>
                <c:pt idx="1">
                  <c:v>9月</c:v>
                </c:pt>
                <c:pt idx="2">
                  <c:v>10月</c:v>
                </c:pt>
                <c:pt idx="3">
                  <c:v>11月</c:v>
                </c:pt>
                <c:pt idx="4">
                  <c:v>12月</c:v>
                </c:pt>
                <c:pt idx="5" c:formatCode="yyyy&quot;年&quot;m&quot;月&quot;">
                  <c:v>2026年1月</c:v>
                </c:pt>
                <c:pt idx="6">
                  <c:v>2月</c:v>
                </c:pt>
                <c:pt idx="7">
                  <c:v>3月</c:v>
                </c:pt>
                <c:pt idx="8">
                  <c:v>4月</c:v>
                </c:pt>
                <c:pt idx="9">
                  <c:v>5月</c:v>
                </c:pt>
                <c:pt idx="10">
                  <c:v>6月</c:v>
                </c:pt>
                <c:pt idx="11">
                  <c:v>7月</c:v>
                </c:pt>
                <c:pt idx="12">
                  <c:v>8月</c:v>
                </c:pt>
              </c:strCache>
            </c:strRef>
          </c:cat>
          <c:val>
            <c:numRef>
              <c:f>[Word里画图的数据.xlsx]Sheet1!$V$8:$AH$8</c:f>
              <c:numCache>
                <c:formatCode>0.0_ </c:formatCode>
                <c:ptCount val="13"/>
                <c:pt idx="0">
                  <c:v>-0.773299999999992</c:v>
                </c:pt>
                <c:pt idx="1">
                  <c:v>-0.8</c:v>
                </c:pt>
                <c:pt idx="2">
                  <c:v>1.5</c:v>
                </c:pt>
                <c:pt idx="3">
                  <c:v>1.7</c:v>
                </c:pt>
                <c:pt idx="4">
                  <c:v>1.2</c:v>
                </c:pt>
                <c:pt idx="5">
                  <c:v>0.4</c:v>
                </c:pt>
                <c:pt idx="6">
                  <c:v>2.2</c:v>
                </c:pt>
                <c:pt idx="7">
                  <c:v>0.9</c:v>
                </c:pt>
                <c:pt idx="8">
                  <c:v>0.489731255858757</c:v>
                </c:pt>
                <c:pt idx="9">
                  <c:v>0.929294809390683</c:v>
                </c:pt>
                <c:pt idx="10">
                  <c:v>0.148413550961337</c:v>
                </c:pt>
                <c:pt idx="11">
                  <c:v>-0.280254450128126</c:v>
                </c:pt>
                <c:pt idx="12">
                  <c:v>0.49587681259365</c:v>
                </c:pt>
              </c:numCache>
            </c:numRef>
          </c:val>
          <c:smooth val="0"/>
        </c:ser>
        <c:ser>
          <c:idx val="1"/>
          <c:order val="1"/>
          <c:tx>
            <c:strRef>
              <c:f>[Word里画图的数据.xlsx]Sheet1!$B$9</c:f>
              <c:strCache>
                <c:ptCount val="1"/>
                <c:pt idx="0">
                  <c:v>环比</c:v>
                </c:pt>
              </c:strCache>
            </c:strRef>
          </c:tx>
          <c:spPr>
            <a:ln w="28575" cap="rnd">
              <a:solidFill>
                <a:schemeClr val="accent2"/>
              </a:solidFill>
              <a:round/>
            </a:ln>
            <a:effectLst/>
          </c:spPr>
          <c:marker>
            <c:symbol val="triangle"/>
            <c:size val="5"/>
            <c:spPr>
              <a:solidFill>
                <a:schemeClr val="accent2"/>
              </a:solidFill>
              <a:ln w="9525">
                <a:solidFill>
                  <a:schemeClr val="accent2"/>
                </a:solidFill>
              </a:ln>
              <a:effectLst/>
            </c:spPr>
          </c:marker>
          <c:dLbls>
            <c:dLbl>
              <c:idx val="0"/>
              <c:layout>
                <c:manualLayout>
                  <c:x val="-0.00135808057944771"/>
                  <c:y val="-0.108558030480657"/>
                </c:manualLayout>
              </c:layout>
              <c:dLblPos val="b"/>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995925758261657"/>
                  <c:y val="-0.102461899179367"/>
                </c:manualLayout>
              </c:layout>
              <c:dLblPos val="b"/>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0113173381620643"/>
                  <c:y val="-0.0145369284876905"/>
                </c:manualLayout>
              </c:layout>
              <c:dLblPos val="b"/>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[Word里画图的数据.xlsx]Sheet1!$V$7:$AH$7</c:f>
              <c:strCache>
                <c:ptCount val="13"/>
                <c:pt idx="0" c:formatCode="yyyy&quot;年&quot;m&quot;月&quot;">
                  <c:v>2025年8月</c:v>
                </c:pt>
                <c:pt idx="1">
                  <c:v>9月</c:v>
                </c:pt>
                <c:pt idx="2">
                  <c:v>10月</c:v>
                </c:pt>
                <c:pt idx="3">
                  <c:v>11月</c:v>
                </c:pt>
                <c:pt idx="4">
                  <c:v>12月</c:v>
                </c:pt>
                <c:pt idx="5" c:formatCode="yyyy&quot;年&quot;m&quot;月&quot;">
                  <c:v>2026年1月</c:v>
                </c:pt>
                <c:pt idx="6">
                  <c:v>2月</c:v>
                </c:pt>
                <c:pt idx="7">
                  <c:v>3月</c:v>
                </c:pt>
                <c:pt idx="8">
                  <c:v>4月</c:v>
                </c:pt>
                <c:pt idx="9">
                  <c:v>5月</c:v>
                </c:pt>
                <c:pt idx="10">
                  <c:v>6月</c:v>
                </c:pt>
                <c:pt idx="11">
                  <c:v>7月</c:v>
                </c:pt>
                <c:pt idx="12">
                  <c:v>8月</c:v>
                </c:pt>
              </c:strCache>
            </c:strRef>
          </c:cat>
          <c:val>
            <c:numRef>
              <c:f>[Word里画图的数据.xlsx]Sheet1!$V$9:$AH$9</c:f>
              <c:numCache>
                <c:formatCode>0.0_ </c:formatCode>
                <c:ptCount val="13"/>
                <c:pt idx="0">
                  <c:v>-0.233800000000002</c:v>
                </c:pt>
                <c:pt idx="1">
                  <c:v>-0.2</c:v>
                </c:pt>
                <c:pt idx="2">
                  <c:v>0.6</c:v>
                </c:pt>
                <c:pt idx="3">
                  <c:v>0</c:v>
                </c:pt>
                <c:pt idx="4">
                  <c:v>0.1</c:v>
                </c:pt>
                <c:pt idx="5">
                  <c:v>0.1</c:v>
                </c:pt>
                <c:pt idx="6">
                  <c:v>1</c:v>
                </c:pt>
                <c:pt idx="7">
                  <c:v>-0.7</c:v>
                </c:pt>
                <c:pt idx="8">
                  <c:v>-0.41555182165466</c:v>
                </c:pt>
                <c:pt idx="9">
                  <c:v>0.141800479893206</c:v>
                </c:pt>
                <c:pt idx="10">
                  <c:v>-0.12499414903877</c:v>
                </c:pt>
                <c:pt idx="11">
                  <c:v>-0.986706620150684</c:v>
                </c:pt>
                <c:pt idx="12">
                  <c:v>0.466038819173392</c:v>
                </c:pt>
              </c:numCache>
            </c:numRef>
          </c:val>
          <c:smooth val="0"/>
        </c:ser>
        <c:dLbls>
          <c:showLegendKey val="0"/>
          <c:showVal val="1"/>
          <c:showCatName val="0"/>
          <c:showSerName val="0"/>
          <c:showPercent val="0"/>
          <c:showBubbleSize val="0"/>
        </c:dLbls>
        <c:marker val="1"/>
        <c:smooth val="0"/>
        <c:axId val="889588381"/>
        <c:axId val="904722682"/>
      </c:lineChart>
      <c:catAx>
        <c:axId val="889588381"/>
        <c:scaling>
          <c:orientation val="minMax"/>
        </c:scaling>
        <c:delete val="0"/>
        <c:axPos val="b"/>
        <c:numFmt formatCode="General" sourceLinked="0"/>
        <c:majorTickMark val="in"/>
        <c:minorTickMark val="none"/>
        <c:tickLblPos val="low"/>
        <c:spPr>
          <a:noFill/>
          <a:ln w="0" cap="flat" cmpd="sng" algn="ctr">
            <a:solidFill>
              <a:schemeClr val="tx1"/>
            </a:solidFill>
            <a:round/>
          </a:ln>
          <a:effectLst/>
        </c:spPr>
        <c:txPr>
          <a:bodyPr rot="-60000000" spcFirstLastPara="0" vertOverflow="ellipsis" vert="horz" wrap="square" anchor="ctr" anchorCtr="1"/>
          <a:lstStyle/>
          <a:p>
            <a:pPr>
              <a:defRPr lang="zh-CN" sz="9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crossAx val="904722682"/>
        <c:crosses val="autoZero"/>
        <c:auto val="1"/>
        <c:lblAlgn val="ctr"/>
        <c:lblOffset val="100"/>
        <c:noMultiLvlLbl val="0"/>
      </c:catAx>
      <c:valAx>
        <c:axId val="904722682"/>
        <c:scaling>
          <c:orientation val="minMax"/>
          <c:max val="3"/>
          <c:min val="-6"/>
        </c:scaling>
        <c:delete val="0"/>
        <c:axPos val="l"/>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lang="zh-CN" altLang="en-US" b="1"/>
                  <a:t>（</a:t>
                </a:r>
                <a:r>
                  <a:rPr lang="en-US" altLang="zh-CN" b="1"/>
                  <a:t>%</a:t>
                </a:r>
                <a:r>
                  <a:rPr lang="zh-CN" altLang="en-US" b="1"/>
                  <a:t>）</a:t>
                </a:r>
                <a:endParaRPr lang="zh-CN" altLang="en-US" b="1"/>
              </a:p>
            </c:rich>
          </c:tx>
          <c:layout>
            <c:manualLayout>
              <c:xMode val="edge"/>
              <c:yMode val="edge"/>
              <c:x val="0.0288024928593558"/>
              <c:y val="0.00625"/>
            </c:manualLayout>
          </c:layout>
          <c:overlay val="0"/>
          <c:spPr>
            <a:noFill/>
            <a:ln>
              <a:noFill/>
            </a:ln>
            <a:effectLst/>
          </c:spPr>
        </c:title>
        <c:numFmt formatCode="0.0_ " sourceLinked="1"/>
        <c:majorTickMark val="in"/>
        <c:minorTickMark val="none"/>
        <c:tickLblPos val="low"/>
        <c:spPr>
          <a:noFill/>
          <a:ln w="12700">
            <a:solidFill>
              <a:schemeClr val="bg1">
                <a:lumMod val="85000"/>
              </a:schemeClr>
            </a:solidFill>
          </a:ln>
          <a:effectLst/>
        </c:spPr>
        <c:txPr>
          <a:bodyPr rot="-60000000" spcFirstLastPara="0" vertOverflow="ellipsis" vert="horz" wrap="square" anchor="ctr" anchorCtr="1"/>
          <a:lstStyle/>
          <a:p>
            <a:pPr>
              <a:defRPr lang="zh-CN" sz="9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crossAx val="889588381"/>
        <c:crosses val="autoZero"/>
        <c:crossBetween val="between"/>
      </c:valAx>
      <c:spPr>
        <a:noFill/>
        <a:ln>
          <a:solidFill>
            <a:schemeClr val="bg1">
              <a:lumMod val="85000"/>
            </a:schemeClr>
          </a:solidFill>
        </a:ln>
        <a:effectLst/>
      </c:spPr>
    </c:plotArea>
    <c:legend>
      <c:legendPos val="b"/>
      <c:layout>
        <c:manualLayout>
          <c:xMode val="edge"/>
          <c:yMode val="edge"/>
          <c:x val="0.768267577857551"/>
          <c:y val="0.0198475530876656"/>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no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0.56561</cdr:x>
      <cdr:y>0</cdr:y>
    </cdr:from>
    <cdr:to>
      <cdr:x>1</cdr:x>
      <cdr:y>0.0634</cdr:y>
    </cdr:to>
    <cdr:sp>
      <cdr:nvSpPr>
        <cdr:cNvPr id="2" name="矩形 1"/>
        <cdr:cNvSpPr/>
      </cdr:nvSpPr>
      <cdr:spPr xmlns:a="http://schemas.openxmlformats.org/drawingml/2006/main">
        <a:xfrm xmlns:a="http://schemas.openxmlformats.org/drawingml/2006/main">
          <a:off x="4034814" y="0"/>
          <a:ext cx="3098776" cy="201699"/>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国家统计局</Company>
  <Pages>4</Pages>
  <Words>439</Words>
  <Characters>528</Characters>
  <Lines>37</Lines>
  <Paragraphs>8</Paragraphs>
  <TotalTime>1</TotalTime>
  <ScaleCrop>false</ScaleCrop>
  <LinksUpToDate>false</LinksUpToDate>
  <CharactersWithSpaces>959</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2018-07-30T23:11:00Z</dcterms:created>
  <dc:creator>d</dc:creator>
  <cp:lastModifiedBy>kylin</cp:lastModifiedBy>
  <dcterms:modified xsi:type="dcterms:W3CDTF">2026-09-10T09:10:59Z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E2C373F9EAB6BB32EB731968CBA3F7BD</vt:lpwstr>
  </property>
</Properties>
</file>