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1EF2" w14:textId="1A8E0F02" w:rsidR="0065144A" w:rsidRPr="00A86417" w:rsidRDefault="008E51BB" w:rsidP="00FA735D">
      <w:pPr>
        <w:pStyle w:val="1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2</w:t>
      </w:r>
      <w:r w:rsidR="00A86417" w:rsidRPr="00A86417">
        <w:rPr>
          <w:rFonts w:hint="eastAsia"/>
          <w:kern w:val="0"/>
          <w:sz w:val="36"/>
          <w:szCs w:val="36"/>
        </w:rPr>
        <w:t>月</w:t>
      </w:r>
      <w:r w:rsidR="000D7731">
        <w:rPr>
          <w:rFonts w:hint="eastAsia"/>
          <w:kern w:val="0"/>
          <w:sz w:val="36"/>
          <w:szCs w:val="36"/>
        </w:rPr>
        <w:t>份</w:t>
      </w:r>
      <w:r w:rsidR="00A86417" w:rsidRPr="00A86417">
        <w:rPr>
          <w:rFonts w:hint="eastAsia"/>
          <w:kern w:val="0"/>
          <w:sz w:val="36"/>
          <w:szCs w:val="36"/>
        </w:rPr>
        <w:t>本市工业生产者价格</w:t>
      </w:r>
      <w:r w:rsidR="00FD3592">
        <w:rPr>
          <w:rFonts w:hint="eastAsia"/>
          <w:kern w:val="0"/>
          <w:sz w:val="36"/>
          <w:szCs w:val="36"/>
        </w:rPr>
        <w:t>同比升幅</w:t>
      </w:r>
      <w:r>
        <w:rPr>
          <w:rFonts w:hint="eastAsia"/>
          <w:kern w:val="0"/>
          <w:sz w:val="36"/>
          <w:szCs w:val="36"/>
        </w:rPr>
        <w:t>进一步</w:t>
      </w:r>
      <w:r w:rsidR="00FD3592">
        <w:rPr>
          <w:kern w:val="0"/>
          <w:sz w:val="36"/>
          <w:szCs w:val="36"/>
        </w:rPr>
        <w:t>收窄</w:t>
      </w:r>
    </w:p>
    <w:p w14:paraId="509BE8EE" w14:textId="4DECB9EC" w:rsidR="0065144A" w:rsidRDefault="008E51BB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 w:rsidR="00A864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月份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FD4ED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FD359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继续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呈</w:t>
      </w:r>
      <w:r w:rsidR="00BD664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“双升”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态势</w:t>
      </w:r>
      <w:r w:rsidR="00BF192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FD359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但</w:t>
      </w:r>
      <w:r w:rsidR="00BF192E">
        <w:rPr>
          <w:rFonts w:ascii="仿宋_GB2312" w:eastAsia="仿宋_GB2312" w:hAnsi="仿宋_GB2312" w:cs="仿宋_GB2312"/>
          <w:color w:val="000000"/>
          <w:sz w:val="28"/>
          <w:szCs w:val="28"/>
        </w:rPr>
        <w:t>升幅较上月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进一步</w:t>
      </w:r>
      <w:r w:rsidR="00FD359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。其中出厂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价格同比上升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0.8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升幅</w:t>
      </w:r>
      <w:r w:rsidR="008B55E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较</w:t>
      </w:r>
      <w:r w:rsidR="00A86417">
        <w:rPr>
          <w:rFonts w:ascii="仿宋_GB2312" w:eastAsia="仿宋_GB2312" w:hAnsi="仿宋_GB2312" w:cs="仿宋_GB2312"/>
          <w:color w:val="000000"/>
          <w:sz w:val="28"/>
          <w:szCs w:val="28"/>
        </w:rPr>
        <w:t>上月</w:t>
      </w:r>
      <w:r w:rsidR="00FD359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收窄0.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6</w:t>
      </w:r>
      <w:r w:rsidR="008B55E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8B55EC">
        <w:rPr>
          <w:rFonts w:ascii="仿宋_GB2312" w:eastAsia="仿宋_GB2312" w:hAnsi="仿宋_GB2312" w:cs="仿宋_GB2312"/>
          <w:color w:val="000000"/>
          <w:sz w:val="28"/>
          <w:szCs w:val="28"/>
        </w:rPr>
        <w:t>百分点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；购进价格同比上升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0.4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升幅较上月</w:t>
      </w:r>
      <w:r w:rsidR="00FD3592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收窄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1.7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百分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点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</w:p>
    <w:p w14:paraId="36EEE398" w14:textId="402B25AB" w:rsidR="00BD6645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产品价格变动看，</w:t>
      </w:r>
      <w:r w:rsidR="008E51BB">
        <w:rPr>
          <w:rFonts w:ascii="仿宋_GB2312" w:eastAsia="仿宋_GB2312" w:hAnsi="仿宋_GB2312" w:cs="仿宋_GB2312"/>
          <w:sz w:val="28"/>
          <w:szCs w:val="28"/>
        </w:rPr>
        <w:t>2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月份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生产资料出厂价格同比</w:t>
      </w:r>
      <w:r>
        <w:rPr>
          <w:rFonts w:ascii="仿宋_GB2312" w:eastAsia="仿宋_GB2312" w:hAnsi="仿宋_GB2312" w:cs="仿宋_GB2312"/>
          <w:sz w:val="28"/>
          <w:szCs w:val="28"/>
        </w:rPr>
        <w:t>上升</w:t>
      </w:r>
      <w:r w:rsidR="008E51BB">
        <w:rPr>
          <w:rFonts w:ascii="仿宋_GB2312" w:eastAsia="仿宋_GB2312" w:hAnsi="仿宋_GB2312" w:cs="仿宋_GB2312"/>
          <w:sz w:val="28"/>
          <w:szCs w:val="28"/>
        </w:rPr>
        <w:t>0.9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4D268A">
        <w:rPr>
          <w:rFonts w:ascii="仿宋_GB2312" w:eastAsia="仿宋_GB2312" w:hAnsi="仿宋_GB2312" w:cs="仿宋_GB2312"/>
          <w:sz w:val="28"/>
          <w:szCs w:val="28"/>
        </w:rPr>
        <w:t>升幅</w:t>
      </w:r>
      <w:r w:rsidR="00FD3592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FD3592">
        <w:rPr>
          <w:rFonts w:ascii="仿宋_GB2312" w:eastAsia="仿宋_GB2312" w:hAnsi="仿宋_GB2312" w:cs="仿宋_GB2312"/>
          <w:sz w:val="28"/>
          <w:szCs w:val="28"/>
        </w:rPr>
        <w:t>收窄</w:t>
      </w:r>
      <w:r w:rsidR="00FD3592">
        <w:rPr>
          <w:rFonts w:ascii="仿宋_GB2312" w:eastAsia="仿宋_GB2312" w:hAnsi="仿宋_GB2312" w:cs="仿宋_GB2312" w:hint="eastAsia"/>
          <w:sz w:val="28"/>
          <w:szCs w:val="28"/>
        </w:rPr>
        <w:t>0.</w:t>
      </w:r>
      <w:r w:rsidR="008E51BB">
        <w:rPr>
          <w:rFonts w:ascii="仿宋_GB2312" w:eastAsia="仿宋_GB2312" w:hAnsi="仿宋_GB2312" w:cs="仿宋_GB2312"/>
          <w:sz w:val="28"/>
          <w:szCs w:val="28"/>
        </w:rPr>
        <w:t>7</w:t>
      </w:r>
      <w:r w:rsidR="00FD3592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D3592">
        <w:rPr>
          <w:rFonts w:ascii="仿宋_GB2312" w:eastAsia="仿宋_GB2312" w:hAnsi="仿宋_GB2312" w:cs="仿宋_GB2312"/>
          <w:sz w:val="28"/>
          <w:szCs w:val="28"/>
        </w:rPr>
        <w:t>百分点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；生活资料出厂价格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 w:rsidR="008E51BB">
        <w:rPr>
          <w:rFonts w:ascii="仿宋_GB2312" w:eastAsia="仿宋_GB2312" w:hAnsi="仿宋_GB2312" w:cs="仿宋_GB2312"/>
          <w:sz w:val="28"/>
          <w:szCs w:val="28"/>
        </w:rPr>
        <w:t>0.7</w:t>
      </w:r>
      <w:r w:rsidR="00B83324">
        <w:rPr>
          <w:rFonts w:ascii="仿宋_GB2312" w:eastAsia="仿宋_GB2312" w:hAnsi="仿宋_GB2312" w:cs="仿宋_GB2312"/>
          <w:sz w:val="28"/>
          <w:szCs w:val="28"/>
        </w:rPr>
        <w:t>%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E72BD4">
        <w:rPr>
          <w:rFonts w:ascii="仿宋_GB2312" w:eastAsia="仿宋_GB2312" w:hAnsi="仿宋_GB2312" w:cs="仿宋_GB2312"/>
          <w:sz w:val="28"/>
          <w:szCs w:val="28"/>
        </w:rPr>
        <w:t>升幅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E72BD4">
        <w:rPr>
          <w:rFonts w:ascii="仿宋_GB2312" w:eastAsia="仿宋_GB2312" w:hAnsi="仿宋_GB2312" w:cs="仿宋_GB2312"/>
          <w:sz w:val="28"/>
          <w:szCs w:val="28"/>
        </w:rPr>
        <w:t>上月</w:t>
      </w:r>
      <w:r w:rsidR="00564A09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8E51BB">
        <w:rPr>
          <w:rFonts w:ascii="仿宋_GB2312" w:eastAsia="仿宋_GB2312" w:hAnsi="仿宋_GB2312" w:cs="仿宋_GB2312" w:hint="eastAsia"/>
          <w:sz w:val="28"/>
          <w:szCs w:val="28"/>
        </w:rPr>
        <w:t>0.2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E72BD4">
        <w:rPr>
          <w:rFonts w:ascii="仿宋_GB2312" w:eastAsia="仿宋_GB2312" w:hAnsi="仿宋_GB2312" w:cs="仿宋_GB2312"/>
          <w:sz w:val="28"/>
          <w:szCs w:val="28"/>
        </w:rPr>
        <w:t>百分点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32C475E" w14:textId="69A57241" w:rsidR="00A47843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A6660">
        <w:rPr>
          <w:rFonts w:ascii="仿宋_GB2312" w:eastAsia="仿宋_GB2312" w:hAnsi="仿宋_GB2312" w:cs="仿宋_GB2312" w:hint="eastAsia"/>
          <w:sz w:val="28"/>
          <w:szCs w:val="28"/>
        </w:rPr>
        <w:t>在本市调查的35个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本月</w:t>
      </w:r>
      <w:r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8E51BB">
        <w:rPr>
          <w:rFonts w:ascii="仿宋_GB2312" w:eastAsia="仿宋_GB2312" w:hAnsi="仿宋_GB2312" w:cs="仿宋_GB2312"/>
          <w:sz w:val="28"/>
          <w:szCs w:val="28"/>
        </w:rPr>
        <w:t>18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75A24">
        <w:rPr>
          <w:rFonts w:ascii="仿宋_GB2312" w:eastAsia="仿宋_GB2312" w:hAnsi="仿宋_GB2312" w:cs="仿宋_GB2312"/>
          <w:sz w:val="28"/>
          <w:szCs w:val="28"/>
        </w:rPr>
        <w:t>，</w:t>
      </w:r>
      <w:r w:rsidR="008E51BB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8E51BB">
        <w:rPr>
          <w:rFonts w:ascii="仿宋_GB2312" w:eastAsia="仿宋_GB2312" w:hAnsi="仿宋_GB2312" w:cs="仿宋_GB2312"/>
          <w:sz w:val="28"/>
          <w:szCs w:val="28"/>
        </w:rPr>
        <w:t>上月减少</w:t>
      </w:r>
      <w:r w:rsidR="008E51BB">
        <w:rPr>
          <w:rFonts w:ascii="仿宋_GB2312" w:eastAsia="仿宋_GB2312" w:hAnsi="仿宋_GB2312" w:cs="仿宋_GB2312" w:hint="eastAsia"/>
          <w:sz w:val="28"/>
          <w:szCs w:val="28"/>
        </w:rPr>
        <w:t>3个；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7C044E">
        <w:rPr>
          <w:rFonts w:ascii="仿宋_GB2312" w:eastAsia="仿宋_GB2312" w:hAnsi="仿宋_GB2312" w:cs="仿宋_GB2312"/>
          <w:sz w:val="28"/>
          <w:szCs w:val="28"/>
        </w:rPr>
        <w:t>2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75A24">
        <w:rPr>
          <w:rFonts w:ascii="仿宋_GB2312" w:eastAsia="仿宋_GB2312" w:hAnsi="仿宋_GB2312" w:cs="仿宋_GB2312"/>
          <w:sz w:val="28"/>
          <w:szCs w:val="28"/>
        </w:rPr>
        <w:t>，</w:t>
      </w:r>
      <w:r w:rsidR="008E51BB">
        <w:rPr>
          <w:rFonts w:ascii="仿宋_GB2312" w:eastAsia="仿宋_GB2312" w:hAnsi="仿宋_GB2312" w:cs="仿宋_GB2312" w:hint="eastAsia"/>
          <w:sz w:val="28"/>
          <w:szCs w:val="28"/>
        </w:rPr>
        <w:t>与</w:t>
      </w:r>
      <w:r w:rsidR="008E51BB">
        <w:rPr>
          <w:rFonts w:ascii="仿宋_GB2312" w:eastAsia="仿宋_GB2312" w:hAnsi="仿宋_GB2312" w:cs="仿宋_GB2312"/>
          <w:sz w:val="28"/>
          <w:szCs w:val="28"/>
        </w:rPr>
        <w:t>上月持平；</w:t>
      </w:r>
      <w:r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>
        <w:rPr>
          <w:rFonts w:ascii="仿宋_GB2312" w:eastAsia="仿宋_GB2312" w:hAnsi="仿宋_GB2312" w:cs="仿宋_GB2312"/>
          <w:sz w:val="28"/>
          <w:szCs w:val="28"/>
        </w:rPr>
        <w:t>有</w:t>
      </w:r>
      <w:r w:rsidR="00775A24">
        <w:rPr>
          <w:rFonts w:ascii="仿宋_GB2312" w:eastAsia="仿宋_GB2312" w:hAnsi="仿宋_GB2312" w:cs="仿宋_GB2312"/>
          <w:sz w:val="28"/>
          <w:szCs w:val="28"/>
        </w:rPr>
        <w:t>1</w:t>
      </w:r>
      <w:r w:rsidR="008E51BB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</w:t>
      </w:r>
      <w:r w:rsidR="008E51BB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8E51BB">
        <w:rPr>
          <w:rFonts w:ascii="仿宋_GB2312" w:eastAsia="仿宋_GB2312" w:hAnsi="仿宋_GB2312" w:cs="仿宋_GB2312"/>
          <w:sz w:val="28"/>
          <w:szCs w:val="28"/>
        </w:rPr>
        <w:t>增加</w:t>
      </w:r>
      <w:r w:rsidR="008E51BB">
        <w:rPr>
          <w:rFonts w:ascii="仿宋_GB2312" w:eastAsia="仿宋_GB2312" w:hAnsi="仿宋_GB2312" w:cs="仿宋_GB2312" w:hint="eastAsia"/>
          <w:sz w:val="28"/>
          <w:szCs w:val="28"/>
        </w:rPr>
        <w:t>3个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 w:rsidRPr="00FF5FB3">
        <w:rPr>
          <w:rFonts w:ascii="仿宋_GB2312" w:eastAsia="仿宋_GB2312" w:hAnsi="仿宋_GB2312" w:cs="仿宋_GB2312" w:hint="eastAsia"/>
          <w:sz w:val="28"/>
          <w:szCs w:val="28"/>
        </w:rPr>
        <w:t>其中，对</w:t>
      </w:r>
      <w:r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出厂价格同比</w:t>
      </w:r>
      <w:r>
        <w:rPr>
          <w:rFonts w:ascii="仿宋_GB2312" w:eastAsia="仿宋_GB2312" w:hAnsi="仿宋_GB2312" w:cs="仿宋_GB2312"/>
          <w:sz w:val="28"/>
          <w:szCs w:val="28"/>
        </w:rPr>
        <w:t>上升</w:t>
      </w:r>
      <w:r w:rsidR="007319E8">
        <w:rPr>
          <w:rFonts w:ascii="仿宋_GB2312" w:eastAsia="仿宋_GB2312" w:hAnsi="仿宋_GB2312" w:cs="仿宋_GB2312"/>
          <w:sz w:val="28"/>
          <w:szCs w:val="28"/>
        </w:rPr>
        <w:t>4.7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升幅较上月</w:t>
      </w:r>
      <w:r w:rsidR="00564A09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7319E8">
        <w:rPr>
          <w:rFonts w:ascii="仿宋_GB2312" w:eastAsia="仿宋_GB2312" w:hAnsi="仿宋_GB2312" w:cs="仿宋_GB2312"/>
          <w:sz w:val="28"/>
          <w:szCs w:val="28"/>
        </w:rPr>
        <w:t>6.3</w:t>
      </w:r>
      <w:r>
        <w:rPr>
          <w:rFonts w:ascii="仿宋_GB2312" w:eastAsia="仿宋_GB2312" w:hAnsi="仿宋_GB2312" w:cs="仿宋_GB2312" w:hint="eastAsia"/>
          <w:sz w:val="28"/>
          <w:szCs w:val="28"/>
        </w:rPr>
        <w:t>个</w:t>
      </w:r>
      <w:r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7319E8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7319E8">
        <w:rPr>
          <w:rFonts w:ascii="仿宋_GB2312" w:eastAsia="仿宋_GB2312" w:hAnsi="仿宋_GB2312" w:cs="仿宋_GB2312"/>
          <w:sz w:val="28"/>
          <w:szCs w:val="28"/>
        </w:rPr>
        <w:t>价格同比上升6.8%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319E8">
        <w:rPr>
          <w:rFonts w:ascii="仿宋_GB2312" w:eastAsia="仿宋_GB2312" w:hAnsi="仿宋_GB2312" w:cs="仿宋_GB2312"/>
          <w:sz w:val="28"/>
          <w:szCs w:val="28"/>
        </w:rPr>
        <w:t>升幅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较上月收窄</w:t>
      </w:r>
      <w:r w:rsidR="007319E8">
        <w:rPr>
          <w:rFonts w:ascii="仿宋_GB2312" w:eastAsia="仿宋_GB2312" w:hAnsi="仿宋_GB2312" w:cs="仿宋_GB2312"/>
          <w:sz w:val="28"/>
          <w:szCs w:val="28"/>
        </w:rPr>
        <w:t>0.6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319E8">
        <w:rPr>
          <w:rFonts w:ascii="仿宋_GB2312" w:eastAsia="仿宋_GB2312" w:hAnsi="仿宋_GB2312" w:cs="仿宋_GB2312"/>
          <w:sz w:val="28"/>
          <w:szCs w:val="28"/>
        </w:rPr>
        <w:t>百分点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7319E8">
        <w:rPr>
          <w:rFonts w:ascii="仿宋_GB2312" w:eastAsia="仿宋_GB2312" w:hAnsi="仿宋_GB2312" w:cs="仿宋_GB2312"/>
          <w:sz w:val="28"/>
          <w:szCs w:val="28"/>
        </w:rPr>
        <w:t>5.1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E4FE6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AA5BC7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7319E8">
        <w:rPr>
          <w:rFonts w:ascii="仿宋_GB2312" w:eastAsia="仿宋_GB2312" w:hAnsi="仿宋_GB2312" w:cs="仿宋_GB2312"/>
          <w:sz w:val="28"/>
          <w:szCs w:val="28"/>
        </w:rPr>
        <w:t>1.6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E4FE6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>
        <w:rPr>
          <w:rFonts w:ascii="仿宋_GB2312" w:eastAsia="仿宋_GB2312" w:hAnsi="仿宋_GB2312" w:cs="仿宋_GB2312"/>
          <w:sz w:val="28"/>
          <w:szCs w:val="28"/>
        </w:rPr>
        <w:t>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67713">
        <w:rPr>
          <w:rFonts w:ascii="仿宋_GB2312" w:eastAsia="仿宋_GB2312" w:hAnsi="仿宋_GB2312" w:cs="仿宋_GB2312"/>
          <w:sz w:val="28"/>
          <w:szCs w:val="28"/>
        </w:rPr>
        <w:t>下降</w:t>
      </w:r>
      <w:r w:rsidR="007319E8">
        <w:rPr>
          <w:rFonts w:ascii="仿宋_GB2312" w:eastAsia="仿宋_GB2312" w:hAnsi="仿宋_GB2312" w:cs="仿宋_GB2312"/>
          <w:sz w:val="28"/>
          <w:szCs w:val="28"/>
        </w:rPr>
        <w:t>6.2</w:t>
      </w:r>
      <w:r w:rsidR="00C67713">
        <w:rPr>
          <w:rFonts w:ascii="仿宋_GB2312" w:eastAsia="仿宋_GB2312" w:hAnsi="仿宋_GB2312" w:cs="仿宋_GB2312"/>
          <w:sz w:val="28"/>
          <w:szCs w:val="28"/>
        </w:rPr>
        <w:t>%</w:t>
      </w:r>
      <w:r w:rsidR="00E7303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64D6D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E73037">
        <w:rPr>
          <w:rFonts w:ascii="仿宋_GB2312" w:eastAsia="仿宋_GB2312" w:hAnsi="仿宋_GB2312" w:cs="仿宋_GB2312"/>
          <w:sz w:val="28"/>
          <w:szCs w:val="28"/>
        </w:rPr>
        <w:t>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0174D">
        <w:rPr>
          <w:rFonts w:ascii="仿宋_GB2312" w:eastAsia="仿宋_GB2312" w:hAnsi="仿宋_GB2312" w:cs="仿宋_GB2312"/>
          <w:sz w:val="28"/>
          <w:szCs w:val="28"/>
        </w:rPr>
        <w:t>扩大</w:t>
      </w:r>
      <w:r w:rsidR="007319E8">
        <w:rPr>
          <w:rFonts w:ascii="仿宋_GB2312" w:eastAsia="仿宋_GB2312" w:hAnsi="仿宋_GB2312" w:cs="仿宋_GB2312"/>
          <w:sz w:val="28"/>
          <w:szCs w:val="28"/>
        </w:rPr>
        <w:t>2</w:t>
      </w:r>
      <w:r w:rsidR="00564A09">
        <w:rPr>
          <w:rFonts w:ascii="仿宋_GB2312" w:eastAsia="仿宋_GB2312" w:hAnsi="仿宋_GB2312" w:cs="仿宋_GB2312"/>
          <w:sz w:val="28"/>
          <w:szCs w:val="28"/>
        </w:rPr>
        <w:t>.3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；汽车</w:t>
      </w:r>
      <w:r>
        <w:rPr>
          <w:rFonts w:ascii="仿宋_GB2312" w:eastAsia="仿宋_GB2312" w:hAnsi="仿宋_GB2312" w:cs="仿宋_GB2312"/>
          <w:sz w:val="28"/>
          <w:szCs w:val="28"/>
        </w:rPr>
        <w:t>制造业出厂价格同比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AA5BC7">
        <w:rPr>
          <w:rFonts w:ascii="仿宋_GB2312" w:eastAsia="仿宋_GB2312" w:hAnsi="仿宋_GB2312" w:cs="仿宋_GB2312"/>
          <w:sz w:val="28"/>
          <w:szCs w:val="28"/>
        </w:rPr>
        <w:t>1.</w:t>
      </w:r>
      <w:r w:rsidR="007319E8">
        <w:rPr>
          <w:rFonts w:ascii="仿宋_GB2312" w:eastAsia="仿宋_GB2312" w:hAnsi="仿宋_GB2312" w:cs="仿宋_GB2312"/>
          <w:sz w:val="28"/>
          <w:szCs w:val="28"/>
        </w:rPr>
        <w:t>6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64A09">
        <w:rPr>
          <w:rFonts w:ascii="仿宋_GB2312" w:eastAsia="仿宋_GB2312" w:hAnsi="仿宋_GB2312" w:cs="仿宋_GB2312" w:hint="eastAsia"/>
          <w:sz w:val="28"/>
          <w:szCs w:val="28"/>
        </w:rPr>
        <w:t>扩大0.</w:t>
      </w:r>
      <w:r w:rsidR="007319E8">
        <w:rPr>
          <w:rFonts w:ascii="仿宋_GB2312" w:eastAsia="仿宋_GB2312" w:hAnsi="仿宋_GB2312" w:cs="仿宋_GB2312"/>
          <w:sz w:val="28"/>
          <w:szCs w:val="28"/>
        </w:rPr>
        <w:t>3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7319E8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2ACA9EE1" w14:textId="58E51487" w:rsidR="00557CE0" w:rsidRPr="00C04D07" w:rsidRDefault="007319E8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月份，本市工业生产者购进价格中</w:t>
      </w:r>
      <w:r w:rsidR="0065144A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比</w:t>
      </w:r>
      <w:r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FA1915">
        <w:rPr>
          <w:rFonts w:ascii="仿宋_GB2312" w:eastAsia="仿宋_GB2312" w:hAnsi="仿宋_GB2312" w:cs="仿宋_GB2312"/>
          <w:sz w:val="28"/>
          <w:szCs w:val="28"/>
        </w:rPr>
        <w:t>上月的</w:t>
      </w:r>
      <w:r w:rsidR="00956040">
        <w:rPr>
          <w:rFonts w:ascii="仿宋_GB2312" w:eastAsia="仿宋_GB2312" w:hAnsi="仿宋_GB2312" w:cs="仿宋_GB2312"/>
          <w:sz w:val="28"/>
          <w:szCs w:val="28"/>
        </w:rPr>
        <w:t>“6</w:t>
      </w:r>
      <w:r w:rsidR="00956040">
        <w:rPr>
          <w:rFonts w:ascii="仿宋_GB2312" w:eastAsia="仿宋_GB2312" w:hAnsi="仿宋_GB2312" w:cs="仿宋_GB2312" w:hint="eastAsia"/>
          <w:sz w:val="28"/>
          <w:szCs w:val="28"/>
        </w:rPr>
        <w:t>升3降</w:t>
      </w:r>
      <w:r w:rsidR="00956040">
        <w:rPr>
          <w:rFonts w:ascii="仿宋_GB2312" w:eastAsia="仿宋_GB2312" w:hAnsi="仿宋_GB2312" w:cs="仿宋_GB2312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转为</w:t>
      </w:r>
      <w:r>
        <w:rPr>
          <w:rFonts w:ascii="仿宋_GB2312" w:eastAsia="仿宋_GB2312" w:hAnsi="仿宋_GB2312" w:cs="仿宋_GB2312"/>
          <w:sz w:val="28"/>
          <w:szCs w:val="28"/>
        </w:rPr>
        <w:t>“5</w:t>
      </w:r>
      <w:r>
        <w:rPr>
          <w:rFonts w:ascii="仿宋_GB2312" w:eastAsia="仿宋_GB2312" w:hAnsi="仿宋_GB2312" w:cs="仿宋_GB2312" w:hint="eastAsia"/>
          <w:sz w:val="28"/>
          <w:szCs w:val="28"/>
        </w:rPr>
        <w:t>升4降</w:t>
      </w:r>
      <w:r>
        <w:rPr>
          <w:rFonts w:ascii="仿宋_GB2312" w:eastAsia="仿宋_GB2312" w:hAnsi="仿宋_GB2312" w:cs="仿宋_GB2312"/>
          <w:sz w:val="28"/>
          <w:szCs w:val="28"/>
        </w:rPr>
        <w:t>”</w:t>
      </w:r>
      <w:r w:rsidR="00FA1915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燃料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动力类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价格同比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>
        <w:rPr>
          <w:rFonts w:ascii="仿宋_GB2312" w:eastAsia="仿宋_GB2312" w:hAnsi="仿宋_GB2312" w:cs="仿宋_GB2312"/>
          <w:sz w:val="28"/>
          <w:szCs w:val="28"/>
        </w:rPr>
        <w:t>8.5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67697A" w:rsidRPr="00A47843">
        <w:rPr>
          <w:rFonts w:ascii="仿宋_GB2312" w:eastAsia="仿宋_GB2312" w:hAnsi="仿宋_GB2312" w:cs="仿宋_GB2312" w:hint="eastAsia"/>
          <w:sz w:val="28"/>
          <w:szCs w:val="28"/>
        </w:rPr>
        <w:t>升幅</w:t>
      </w:r>
      <w:r w:rsidR="00240CF3" w:rsidRPr="00A47843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>
        <w:rPr>
          <w:rFonts w:ascii="仿宋_GB2312" w:eastAsia="仿宋_GB2312" w:hAnsi="仿宋_GB2312" w:cs="仿宋_GB2312"/>
          <w:sz w:val="28"/>
          <w:szCs w:val="28"/>
        </w:rPr>
        <w:t>8.4</w:t>
      </w:r>
      <w:r w:rsidR="00240CF3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40CF3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；黑色金属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材料类价格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D0357B">
        <w:rPr>
          <w:rFonts w:ascii="仿宋_GB2312" w:eastAsia="仿宋_GB2312" w:hAnsi="仿宋_GB2312" w:cs="仿宋_GB2312"/>
          <w:sz w:val="28"/>
          <w:szCs w:val="28"/>
        </w:rPr>
        <w:t>4</w:t>
      </w:r>
      <w:r w:rsidR="00A918E8" w:rsidRPr="00A47843">
        <w:rPr>
          <w:rFonts w:ascii="仿宋_GB2312" w:eastAsia="仿宋_GB2312" w:hAnsi="仿宋_GB2312" w:cs="仿宋_GB2312"/>
          <w:sz w:val="28"/>
          <w:szCs w:val="28"/>
        </w:rPr>
        <w:t>.1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扩大1.0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；有色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金属材料类购进价格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D0357B">
        <w:rPr>
          <w:rFonts w:ascii="仿宋_GB2312" w:eastAsia="仿宋_GB2312" w:hAnsi="仿宋_GB2312" w:cs="仿宋_GB2312"/>
          <w:sz w:val="28"/>
          <w:szCs w:val="28"/>
        </w:rPr>
        <w:t>上月</w:t>
      </w:r>
      <w:r w:rsidR="00956040" w:rsidRPr="00A47843">
        <w:rPr>
          <w:rFonts w:ascii="仿宋_GB2312" w:eastAsia="仿宋_GB2312" w:hAnsi="仿宋_GB2312" w:cs="仿宋_GB2312"/>
          <w:sz w:val="28"/>
          <w:szCs w:val="28"/>
        </w:rPr>
        <w:t>上升</w:t>
      </w:r>
      <w:r w:rsidR="00A918E8" w:rsidRPr="00A47843">
        <w:rPr>
          <w:rFonts w:ascii="仿宋_GB2312" w:eastAsia="仿宋_GB2312" w:hAnsi="仿宋_GB2312" w:cs="仿宋_GB2312"/>
          <w:sz w:val="28"/>
          <w:szCs w:val="28"/>
        </w:rPr>
        <w:t>1.6</w:t>
      </w:r>
      <w:r w:rsidR="00956040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转为下降0.5</w:t>
      </w:r>
      <w:r w:rsidR="00D0357B">
        <w:rPr>
          <w:rFonts w:ascii="仿宋_GB2312" w:eastAsia="仿宋_GB2312" w:hAnsi="仿宋_GB2312" w:cs="仿宋_GB2312"/>
          <w:sz w:val="28"/>
          <w:szCs w:val="28"/>
        </w:rPr>
        <w:t>%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；化工原料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购进价格同比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D0357B">
        <w:rPr>
          <w:rFonts w:ascii="仿宋_GB2312" w:eastAsia="仿宋_GB2312" w:hAnsi="仿宋_GB2312" w:cs="仿宋_GB2312"/>
          <w:sz w:val="28"/>
          <w:szCs w:val="28"/>
        </w:rPr>
        <w:t>4.3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降幅较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上月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扩大1.</w:t>
      </w:r>
      <w:r w:rsidR="00D0357B">
        <w:rPr>
          <w:rFonts w:ascii="仿宋_GB2312" w:eastAsia="仿宋_GB2312" w:hAnsi="仿宋_GB2312" w:cs="仿宋_GB2312"/>
          <w:sz w:val="28"/>
          <w:szCs w:val="28"/>
        </w:rPr>
        <w:t>3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其余大类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中</w:t>
      </w:r>
      <w:r w:rsidR="005A1C3E">
        <w:rPr>
          <w:rFonts w:ascii="仿宋_GB2312" w:eastAsia="仿宋_GB2312" w:hAnsi="仿宋_GB2312" w:cs="仿宋_GB2312"/>
          <w:sz w:val="28"/>
          <w:szCs w:val="28"/>
        </w:rPr>
        <w:t>，</w:t>
      </w:r>
      <w:r w:rsidR="005A1C3E" w:rsidRPr="005A1C3E">
        <w:rPr>
          <w:rFonts w:ascii="仿宋_GB2312" w:eastAsia="仿宋_GB2312" w:hAnsi="仿宋_GB2312" w:cs="仿宋_GB2312" w:hint="eastAsia"/>
          <w:sz w:val="28"/>
          <w:szCs w:val="28"/>
        </w:rPr>
        <w:t>建筑材料及非金属类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购进价格</w:t>
      </w:r>
      <w:r w:rsidR="0065144A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D0357B">
        <w:rPr>
          <w:rFonts w:ascii="仿宋_GB2312" w:eastAsia="仿宋_GB2312" w:hAnsi="仿宋_GB2312" w:cs="仿宋_GB2312"/>
          <w:sz w:val="28"/>
          <w:szCs w:val="28"/>
        </w:rPr>
        <w:t>9.8</w:t>
      </w:r>
      <w:r w:rsidR="005A1C3E">
        <w:rPr>
          <w:rFonts w:ascii="仿宋_GB2312" w:eastAsia="仿宋_GB2312" w:hAnsi="仿宋_GB2312" w:cs="仿宋_GB2312"/>
          <w:sz w:val="28"/>
          <w:szCs w:val="28"/>
        </w:rPr>
        <w:t>%</w:t>
      </w:r>
      <w:r w:rsidR="00885827">
        <w:rPr>
          <w:rFonts w:ascii="仿宋_GB2312" w:eastAsia="仿宋_GB2312" w:hAnsi="仿宋_GB2312" w:cs="仿宋_GB2312"/>
          <w:sz w:val="28"/>
          <w:szCs w:val="28"/>
        </w:rPr>
        <w:t>，</w:t>
      </w:r>
      <w:r w:rsidR="00885827">
        <w:rPr>
          <w:rFonts w:ascii="仿宋_GB2312" w:eastAsia="仿宋_GB2312" w:hAnsi="仿宋_GB2312" w:cs="仿宋_GB2312" w:hint="eastAsia"/>
          <w:sz w:val="28"/>
          <w:szCs w:val="28"/>
        </w:rPr>
        <w:t>其他</w:t>
      </w:r>
      <w:r w:rsidR="005A1C3E">
        <w:rPr>
          <w:rFonts w:ascii="仿宋_GB2312" w:eastAsia="仿宋_GB2312" w:hAnsi="仿宋_GB2312" w:cs="仿宋_GB2312"/>
          <w:sz w:val="28"/>
          <w:szCs w:val="28"/>
        </w:rPr>
        <w:t>大类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5A1C3E">
        <w:rPr>
          <w:rFonts w:ascii="仿宋_GB2312" w:eastAsia="仿宋_GB2312" w:hAnsi="仿宋_GB2312" w:cs="仿宋_GB2312"/>
          <w:sz w:val="28"/>
          <w:szCs w:val="28"/>
        </w:rPr>
        <w:t>价格</w:t>
      </w:r>
      <w:r w:rsidR="00195907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65144A">
        <w:rPr>
          <w:rFonts w:ascii="仿宋_GB2312" w:eastAsia="仿宋_GB2312" w:hAnsi="仿宋_GB2312" w:cs="仿宋_GB2312"/>
          <w:sz w:val="28"/>
          <w:szCs w:val="28"/>
        </w:rPr>
        <w:t>升</w:t>
      </w:r>
      <w:r w:rsidR="0065144A">
        <w:rPr>
          <w:rFonts w:ascii="仿宋_GB2312" w:eastAsia="仿宋_GB2312" w:hAnsi="仿宋_GB2312" w:cs="仿宋_GB2312"/>
          <w:sz w:val="28"/>
          <w:szCs w:val="28"/>
        </w:rPr>
        <w:lastRenderedPageBreak/>
        <w:t>幅在</w:t>
      </w:r>
      <w:r w:rsidR="00D0357B">
        <w:rPr>
          <w:rFonts w:ascii="仿宋_GB2312" w:eastAsia="仿宋_GB2312" w:hAnsi="仿宋_GB2312" w:cs="仿宋_GB2312"/>
          <w:sz w:val="28"/>
          <w:szCs w:val="28"/>
        </w:rPr>
        <w:t>0.4</w:t>
      </w:r>
      <w:r w:rsidR="0065144A">
        <w:rPr>
          <w:rFonts w:ascii="仿宋_GB2312" w:eastAsia="仿宋_GB2312" w:hAnsi="仿宋_GB2312" w:cs="仿宋_GB2312"/>
          <w:sz w:val="28"/>
          <w:szCs w:val="28"/>
        </w:rPr>
        <w:t>%到</w:t>
      </w:r>
      <w:r w:rsidR="00D0357B">
        <w:rPr>
          <w:rFonts w:ascii="仿宋_GB2312" w:eastAsia="仿宋_GB2312" w:hAnsi="仿宋_GB2312" w:cs="仿宋_GB2312"/>
          <w:sz w:val="28"/>
          <w:szCs w:val="28"/>
        </w:rPr>
        <w:t>2.9</w:t>
      </w:r>
      <w:r w:rsidR="0065144A">
        <w:rPr>
          <w:rFonts w:ascii="仿宋_GB2312" w:eastAsia="仿宋_GB2312" w:hAnsi="仿宋_GB2312" w:cs="仿宋_GB2312"/>
          <w:sz w:val="28"/>
          <w:szCs w:val="28"/>
        </w:rPr>
        <w:t xml:space="preserve">%之间。 </w:t>
      </w:r>
    </w:p>
    <w:p w14:paraId="670CD702" w14:textId="47D96641" w:rsidR="00C04D07" w:rsidRPr="00965AFA" w:rsidRDefault="00D0357B" w:rsidP="00965A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A34B6D5" wp14:editId="35B79419">
            <wp:extent cx="5274310" cy="3573780"/>
            <wp:effectExtent l="0" t="0" r="2540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0E8D829" w14:textId="0E14C4AC" w:rsidR="0065144A" w:rsidRDefault="00F62413" w:rsidP="0065144A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20</w:t>
      </w:r>
      <w:r w:rsidR="00BD05B1">
        <w:rPr>
          <w:rFonts w:ascii="宋体" w:hAnsi="宋体" w:cs="宋体" w:hint="eastAsia"/>
          <w:b/>
          <w:bCs/>
          <w:color w:val="000000"/>
          <w:sz w:val="24"/>
          <w:szCs w:val="24"/>
        </w:rPr>
        <w:t>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D0357B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月-202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D0357B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本市工业生产者价格指数（上年同月=100）   </w:t>
      </w:r>
    </w:p>
    <w:p w14:paraId="551D0837" w14:textId="77777777" w:rsidR="009361AE" w:rsidRPr="00D0357B" w:rsidRDefault="009361AE"/>
    <w:sectPr w:rsidR="009361AE" w:rsidRPr="00D0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2F33" w14:textId="77777777" w:rsidR="00D9368B" w:rsidRDefault="00D9368B" w:rsidP="00E72BD4">
      <w:r>
        <w:separator/>
      </w:r>
    </w:p>
  </w:endnote>
  <w:endnote w:type="continuationSeparator" w:id="0">
    <w:p w14:paraId="07F9398D" w14:textId="77777777" w:rsidR="00D9368B" w:rsidRDefault="00D9368B" w:rsidP="00E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5544D" w14:textId="77777777" w:rsidR="00D9368B" w:rsidRDefault="00D9368B" w:rsidP="00E72BD4">
      <w:r>
        <w:separator/>
      </w:r>
    </w:p>
  </w:footnote>
  <w:footnote w:type="continuationSeparator" w:id="0">
    <w:p w14:paraId="2EC8F4A7" w14:textId="77777777" w:rsidR="00D9368B" w:rsidRDefault="00D9368B" w:rsidP="00E7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6"/>
    <w:rsid w:val="00011465"/>
    <w:rsid w:val="00032E7A"/>
    <w:rsid w:val="000817BD"/>
    <w:rsid w:val="00087676"/>
    <w:rsid w:val="000D7731"/>
    <w:rsid w:val="00124256"/>
    <w:rsid w:val="00135FED"/>
    <w:rsid w:val="00136A60"/>
    <w:rsid w:val="00195907"/>
    <w:rsid w:val="001A05CB"/>
    <w:rsid w:val="001C7BB0"/>
    <w:rsid w:val="00222FE2"/>
    <w:rsid w:val="00240CF3"/>
    <w:rsid w:val="00243D55"/>
    <w:rsid w:val="002B0123"/>
    <w:rsid w:val="002B15F0"/>
    <w:rsid w:val="002C4D2F"/>
    <w:rsid w:val="002D1A23"/>
    <w:rsid w:val="002E4FE6"/>
    <w:rsid w:val="00300D5A"/>
    <w:rsid w:val="00366240"/>
    <w:rsid w:val="00371F87"/>
    <w:rsid w:val="00387146"/>
    <w:rsid w:val="003B3F81"/>
    <w:rsid w:val="003B525D"/>
    <w:rsid w:val="003C5A89"/>
    <w:rsid w:val="003C5F76"/>
    <w:rsid w:val="003D131B"/>
    <w:rsid w:val="003D1E70"/>
    <w:rsid w:val="00487B09"/>
    <w:rsid w:val="00496E99"/>
    <w:rsid w:val="004B2975"/>
    <w:rsid w:val="004B3F34"/>
    <w:rsid w:val="004C7543"/>
    <w:rsid w:val="004D268A"/>
    <w:rsid w:val="0050174D"/>
    <w:rsid w:val="005107A5"/>
    <w:rsid w:val="00557CE0"/>
    <w:rsid w:val="005639FE"/>
    <w:rsid w:val="00564A09"/>
    <w:rsid w:val="00574697"/>
    <w:rsid w:val="005A1C3E"/>
    <w:rsid w:val="005C1814"/>
    <w:rsid w:val="005F160D"/>
    <w:rsid w:val="0065144A"/>
    <w:rsid w:val="006543DD"/>
    <w:rsid w:val="0067697A"/>
    <w:rsid w:val="00694D1C"/>
    <w:rsid w:val="006C645E"/>
    <w:rsid w:val="006F502A"/>
    <w:rsid w:val="00706B86"/>
    <w:rsid w:val="007319E8"/>
    <w:rsid w:val="00755845"/>
    <w:rsid w:val="00775A24"/>
    <w:rsid w:val="007C044E"/>
    <w:rsid w:val="00832F7C"/>
    <w:rsid w:val="00841441"/>
    <w:rsid w:val="00885827"/>
    <w:rsid w:val="008B55EC"/>
    <w:rsid w:val="008E51BB"/>
    <w:rsid w:val="009361AE"/>
    <w:rsid w:val="00956040"/>
    <w:rsid w:val="00965AFA"/>
    <w:rsid w:val="00993983"/>
    <w:rsid w:val="009E36E0"/>
    <w:rsid w:val="009E4494"/>
    <w:rsid w:val="00A21AAB"/>
    <w:rsid w:val="00A24B27"/>
    <w:rsid w:val="00A459BF"/>
    <w:rsid w:val="00A47843"/>
    <w:rsid w:val="00A86417"/>
    <w:rsid w:val="00A918E8"/>
    <w:rsid w:val="00AA5BC7"/>
    <w:rsid w:val="00AB7CAB"/>
    <w:rsid w:val="00B83324"/>
    <w:rsid w:val="00BD05B1"/>
    <w:rsid w:val="00BD6645"/>
    <w:rsid w:val="00BF192E"/>
    <w:rsid w:val="00C04D07"/>
    <w:rsid w:val="00C3114B"/>
    <w:rsid w:val="00C33795"/>
    <w:rsid w:val="00C67713"/>
    <w:rsid w:val="00CA1A19"/>
    <w:rsid w:val="00D0357B"/>
    <w:rsid w:val="00D04E06"/>
    <w:rsid w:val="00D5456F"/>
    <w:rsid w:val="00D9368B"/>
    <w:rsid w:val="00E424E9"/>
    <w:rsid w:val="00E72BD4"/>
    <w:rsid w:val="00E73037"/>
    <w:rsid w:val="00ED7699"/>
    <w:rsid w:val="00EF6EFE"/>
    <w:rsid w:val="00F62413"/>
    <w:rsid w:val="00F64D6D"/>
    <w:rsid w:val="00FA1915"/>
    <w:rsid w:val="00FA3504"/>
    <w:rsid w:val="00FA6E97"/>
    <w:rsid w:val="00FA735D"/>
    <w:rsid w:val="00FD359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D75A"/>
  <w15:chartTrackingRefBased/>
  <w15:docId w15:val="{7FDB9EF7-A357-4BC7-9686-EFB42DF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5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4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46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2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2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3175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zh-C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图!$O$8:$AA$8</c:f>
              <c:strCache>
                <c:ptCount val="13"/>
                <c:pt idx="0">
                  <c:v>2022年2月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1月</c:v>
                </c:pt>
                <c:pt idx="12">
                  <c:v>2023年2月</c:v>
                </c:pt>
              </c:strCache>
            </c:strRef>
          </c:cat>
          <c:val>
            <c:numRef>
              <c:f>图!$O$9:$AA$9</c:f>
              <c:numCache>
                <c:formatCode>0.0_ </c:formatCode>
                <c:ptCount val="13"/>
                <c:pt idx="0">
                  <c:v>103.7</c:v>
                </c:pt>
                <c:pt idx="1">
                  <c:v>103.4081</c:v>
                </c:pt>
                <c:pt idx="2">
                  <c:v>103.0929</c:v>
                </c:pt>
                <c:pt idx="3">
                  <c:v>103.08550000000001</c:v>
                </c:pt>
                <c:pt idx="4">
                  <c:v>103.0682</c:v>
                </c:pt>
                <c:pt idx="5">
                  <c:v>102.7</c:v>
                </c:pt>
                <c:pt idx="6">
                  <c:v>101.8</c:v>
                </c:pt>
                <c:pt idx="7">
                  <c:v>101.6</c:v>
                </c:pt>
                <c:pt idx="8">
                  <c:v>101.4</c:v>
                </c:pt>
                <c:pt idx="9">
                  <c:v>101.7</c:v>
                </c:pt>
                <c:pt idx="10">
                  <c:v>101.9</c:v>
                </c:pt>
                <c:pt idx="11">
                  <c:v>101.4</c:v>
                </c:pt>
                <c:pt idx="12">
                  <c:v>100.8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3175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baseline="0"/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图!$O$8:$AA$8</c:f>
              <c:strCache>
                <c:ptCount val="13"/>
                <c:pt idx="0">
                  <c:v>2022年2月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  <c:pt idx="11">
                  <c:v>1月</c:v>
                </c:pt>
                <c:pt idx="12">
                  <c:v>2023年2月</c:v>
                </c:pt>
              </c:strCache>
            </c:strRef>
          </c:cat>
          <c:val>
            <c:numRef>
              <c:f>图!$O$10:$AA$10</c:f>
              <c:numCache>
                <c:formatCode>0.0_ </c:formatCode>
                <c:ptCount val="13"/>
                <c:pt idx="0">
                  <c:v>107.9</c:v>
                </c:pt>
                <c:pt idx="1">
                  <c:v>108.61490000000001</c:v>
                </c:pt>
                <c:pt idx="2">
                  <c:v>107.90400000000001</c:v>
                </c:pt>
                <c:pt idx="3">
                  <c:v>106.2368</c:v>
                </c:pt>
                <c:pt idx="4">
                  <c:v>106.38420000000001</c:v>
                </c:pt>
                <c:pt idx="5">
                  <c:v>104.6</c:v>
                </c:pt>
                <c:pt idx="6">
                  <c:v>103.5</c:v>
                </c:pt>
                <c:pt idx="7">
                  <c:v>102.9</c:v>
                </c:pt>
                <c:pt idx="8">
                  <c:v>101.3</c:v>
                </c:pt>
                <c:pt idx="9">
                  <c:v>100.7</c:v>
                </c:pt>
                <c:pt idx="10">
                  <c:v>102.2</c:v>
                </c:pt>
                <c:pt idx="11">
                  <c:v>102.1</c:v>
                </c:pt>
                <c:pt idx="12">
                  <c:v>100.4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6207456"/>
        <c:axId val="306209136"/>
      </c:lineChart>
      <c:dateAx>
        <c:axId val="306207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306209136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306209136"/>
        <c:scaling>
          <c:orientation val="minMax"/>
          <c:max val="114"/>
          <c:min val="100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306207456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9.290320528115803E-2"/>
          <c:y val="0.87897755177740533"/>
          <c:w val="0.77622371748985919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汪娟</dc:creator>
  <cp:keywords/>
  <dc:description/>
  <cp:lastModifiedBy>NTKO</cp:lastModifiedBy>
  <cp:revision>85</cp:revision>
  <cp:lastPrinted>2022-12-09T08:55:00Z</cp:lastPrinted>
  <dcterms:created xsi:type="dcterms:W3CDTF">2022-05-12T04:30:00Z</dcterms:created>
  <dcterms:modified xsi:type="dcterms:W3CDTF">2023-03-09T01:57:00Z</dcterms:modified>
</cp:coreProperties>
</file>